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ED" w:rsidRPr="00C84F19" w:rsidRDefault="00AA46ED" w:rsidP="00AA46ED">
      <w:pPr>
        <w:jc w:val="center"/>
        <w:rPr>
          <w:rFonts w:ascii="Arial" w:hAnsi="Arial" w:cs="Arial"/>
          <w:sz w:val="36"/>
          <w:szCs w:val="36"/>
        </w:rPr>
      </w:pPr>
      <w:r w:rsidRPr="00C84F19">
        <w:rPr>
          <w:rFonts w:ascii="Arial" w:hAnsi="Arial" w:cs="Arial"/>
          <w:sz w:val="36"/>
          <w:szCs w:val="36"/>
        </w:rPr>
        <w:t>D</w:t>
      </w:r>
      <w:r w:rsidR="00810777" w:rsidRPr="00C84F19">
        <w:rPr>
          <w:rFonts w:ascii="Arial" w:hAnsi="Arial" w:cs="Arial"/>
          <w:sz w:val="36"/>
          <w:szCs w:val="36"/>
        </w:rPr>
        <w:t xml:space="preserve"> </w:t>
      </w:r>
      <w:r w:rsidRPr="00C84F19">
        <w:rPr>
          <w:rFonts w:ascii="Arial" w:hAnsi="Arial" w:cs="Arial"/>
          <w:sz w:val="36"/>
          <w:szCs w:val="36"/>
        </w:rPr>
        <w:t>E</w:t>
      </w:r>
      <w:r w:rsidR="00810777" w:rsidRPr="00C84F19">
        <w:rPr>
          <w:rFonts w:ascii="Arial" w:hAnsi="Arial" w:cs="Arial"/>
          <w:sz w:val="36"/>
          <w:szCs w:val="36"/>
        </w:rPr>
        <w:t xml:space="preserve"> </w:t>
      </w:r>
      <w:r w:rsidRPr="00C84F19">
        <w:rPr>
          <w:rFonts w:ascii="Arial" w:hAnsi="Arial" w:cs="Arial"/>
          <w:sz w:val="36"/>
          <w:szCs w:val="36"/>
        </w:rPr>
        <w:t>P</w:t>
      </w:r>
      <w:r w:rsidR="00810777" w:rsidRPr="00C84F19">
        <w:rPr>
          <w:rFonts w:ascii="Arial" w:hAnsi="Arial" w:cs="Arial"/>
          <w:sz w:val="36"/>
          <w:szCs w:val="36"/>
        </w:rPr>
        <w:t xml:space="preserve"> </w:t>
      </w:r>
      <w:r w:rsidRPr="00C84F19">
        <w:rPr>
          <w:rFonts w:ascii="Arial" w:hAnsi="Arial" w:cs="Arial"/>
          <w:sz w:val="36"/>
          <w:szCs w:val="36"/>
        </w:rPr>
        <w:t>A</w:t>
      </w:r>
      <w:r w:rsidR="00810777" w:rsidRPr="00C84F19">
        <w:rPr>
          <w:rFonts w:ascii="Arial" w:hAnsi="Arial" w:cs="Arial"/>
          <w:sz w:val="36"/>
          <w:szCs w:val="36"/>
        </w:rPr>
        <w:t xml:space="preserve"> </w:t>
      </w:r>
      <w:r w:rsidRPr="00C84F19">
        <w:rPr>
          <w:rFonts w:ascii="Arial" w:hAnsi="Arial" w:cs="Arial"/>
          <w:sz w:val="36"/>
          <w:szCs w:val="36"/>
        </w:rPr>
        <w:t>R</w:t>
      </w:r>
      <w:r w:rsidR="00810777" w:rsidRPr="00C84F19">
        <w:rPr>
          <w:rFonts w:ascii="Arial" w:hAnsi="Arial" w:cs="Arial"/>
          <w:sz w:val="36"/>
          <w:szCs w:val="36"/>
        </w:rPr>
        <w:t xml:space="preserve"> </w:t>
      </w:r>
      <w:r w:rsidRPr="00C84F19">
        <w:rPr>
          <w:rFonts w:ascii="Arial" w:hAnsi="Arial" w:cs="Arial"/>
          <w:sz w:val="36"/>
          <w:szCs w:val="36"/>
        </w:rPr>
        <w:t>T</w:t>
      </w:r>
      <w:r w:rsidR="00810777" w:rsidRPr="00C84F19">
        <w:rPr>
          <w:rFonts w:ascii="Arial" w:hAnsi="Arial" w:cs="Arial"/>
          <w:sz w:val="36"/>
          <w:szCs w:val="36"/>
        </w:rPr>
        <w:t xml:space="preserve"> </w:t>
      </w:r>
      <w:r w:rsidRPr="00C84F19">
        <w:rPr>
          <w:rFonts w:ascii="Arial" w:hAnsi="Arial" w:cs="Arial"/>
          <w:sz w:val="36"/>
          <w:szCs w:val="36"/>
        </w:rPr>
        <w:t>A</w:t>
      </w:r>
      <w:r w:rsidR="00810777" w:rsidRPr="00C84F19">
        <w:rPr>
          <w:rFonts w:ascii="Arial" w:hAnsi="Arial" w:cs="Arial"/>
          <w:sz w:val="36"/>
          <w:szCs w:val="36"/>
        </w:rPr>
        <w:t xml:space="preserve"> </w:t>
      </w:r>
      <w:r w:rsidRPr="00C84F19">
        <w:rPr>
          <w:rFonts w:ascii="Arial" w:hAnsi="Arial" w:cs="Arial"/>
          <w:sz w:val="36"/>
          <w:szCs w:val="36"/>
        </w:rPr>
        <w:t>M</w:t>
      </w:r>
      <w:r w:rsidR="00810777" w:rsidRPr="00C84F19">
        <w:rPr>
          <w:rFonts w:ascii="Arial" w:hAnsi="Arial" w:cs="Arial"/>
          <w:sz w:val="36"/>
          <w:szCs w:val="36"/>
        </w:rPr>
        <w:t xml:space="preserve"> </w:t>
      </w:r>
      <w:r w:rsidRPr="00C84F19">
        <w:rPr>
          <w:rFonts w:ascii="Arial" w:hAnsi="Arial" w:cs="Arial"/>
          <w:sz w:val="36"/>
          <w:szCs w:val="36"/>
        </w:rPr>
        <w:t>E</w:t>
      </w:r>
      <w:r w:rsidR="00810777" w:rsidRPr="00C84F19">
        <w:rPr>
          <w:rFonts w:ascii="Arial" w:hAnsi="Arial" w:cs="Arial"/>
          <w:sz w:val="36"/>
          <w:szCs w:val="36"/>
        </w:rPr>
        <w:t xml:space="preserve"> </w:t>
      </w:r>
      <w:r w:rsidRPr="00C84F19">
        <w:rPr>
          <w:rFonts w:ascii="Arial" w:hAnsi="Arial" w:cs="Arial"/>
          <w:sz w:val="36"/>
          <w:szCs w:val="36"/>
        </w:rPr>
        <w:t>N</w:t>
      </w:r>
      <w:r w:rsidR="00810777" w:rsidRPr="00C84F19">
        <w:rPr>
          <w:rFonts w:ascii="Arial" w:hAnsi="Arial" w:cs="Arial"/>
          <w:sz w:val="36"/>
          <w:szCs w:val="36"/>
        </w:rPr>
        <w:t xml:space="preserve"> </w:t>
      </w:r>
      <w:r w:rsidRPr="00C84F19">
        <w:rPr>
          <w:rFonts w:ascii="Arial" w:hAnsi="Arial" w:cs="Arial"/>
          <w:sz w:val="36"/>
          <w:szCs w:val="36"/>
        </w:rPr>
        <w:t>T</w:t>
      </w:r>
      <w:r w:rsidR="00810777" w:rsidRPr="00C84F19">
        <w:rPr>
          <w:rFonts w:ascii="Arial" w:hAnsi="Arial" w:cs="Arial"/>
          <w:sz w:val="36"/>
          <w:szCs w:val="36"/>
        </w:rPr>
        <w:t xml:space="preserve"> </w:t>
      </w:r>
      <w:r w:rsidRPr="00C84F19">
        <w:rPr>
          <w:rFonts w:ascii="Arial" w:hAnsi="Arial" w:cs="Arial"/>
          <w:sz w:val="36"/>
          <w:szCs w:val="36"/>
        </w:rPr>
        <w:t>O</w:t>
      </w:r>
      <w:r w:rsidR="00810777" w:rsidRPr="00C84F19">
        <w:rPr>
          <w:rFonts w:ascii="Arial" w:hAnsi="Arial" w:cs="Arial"/>
          <w:sz w:val="36"/>
          <w:szCs w:val="36"/>
        </w:rPr>
        <w:t xml:space="preserve">  </w:t>
      </w:r>
      <w:r w:rsidRPr="00C84F19">
        <w:rPr>
          <w:rFonts w:ascii="Arial" w:hAnsi="Arial" w:cs="Arial"/>
          <w:sz w:val="36"/>
          <w:szCs w:val="36"/>
        </w:rPr>
        <w:t xml:space="preserve"> D</w:t>
      </w:r>
      <w:r w:rsidR="00810777" w:rsidRPr="00C84F19">
        <w:rPr>
          <w:rFonts w:ascii="Arial" w:hAnsi="Arial" w:cs="Arial"/>
          <w:sz w:val="36"/>
          <w:szCs w:val="36"/>
        </w:rPr>
        <w:t xml:space="preserve"> </w:t>
      </w:r>
      <w:r w:rsidRPr="00C84F19">
        <w:rPr>
          <w:rFonts w:ascii="Arial" w:hAnsi="Arial" w:cs="Arial"/>
          <w:sz w:val="36"/>
          <w:szCs w:val="36"/>
        </w:rPr>
        <w:t>E</w:t>
      </w:r>
      <w:r w:rsidR="00810777" w:rsidRPr="00C84F19">
        <w:rPr>
          <w:rFonts w:ascii="Arial" w:hAnsi="Arial" w:cs="Arial"/>
          <w:sz w:val="36"/>
          <w:szCs w:val="36"/>
        </w:rPr>
        <w:t xml:space="preserve"> </w:t>
      </w:r>
      <w:r w:rsidRPr="00C84F19">
        <w:rPr>
          <w:rFonts w:ascii="Arial" w:hAnsi="Arial" w:cs="Arial"/>
          <w:sz w:val="36"/>
          <w:szCs w:val="36"/>
        </w:rPr>
        <w:t>L</w:t>
      </w:r>
      <w:r w:rsidR="00810777" w:rsidRPr="00C84F19">
        <w:rPr>
          <w:rFonts w:ascii="Arial" w:hAnsi="Arial" w:cs="Arial"/>
          <w:sz w:val="36"/>
          <w:szCs w:val="36"/>
        </w:rPr>
        <w:t xml:space="preserve">  </w:t>
      </w:r>
      <w:r w:rsidRPr="00C84F19">
        <w:rPr>
          <w:rFonts w:ascii="Arial" w:hAnsi="Arial" w:cs="Arial"/>
          <w:sz w:val="36"/>
          <w:szCs w:val="36"/>
        </w:rPr>
        <w:t xml:space="preserve"> Q</w:t>
      </w:r>
      <w:r w:rsidR="00810777" w:rsidRPr="00C84F19">
        <w:rPr>
          <w:rFonts w:ascii="Arial" w:hAnsi="Arial" w:cs="Arial"/>
          <w:sz w:val="36"/>
          <w:szCs w:val="36"/>
        </w:rPr>
        <w:t xml:space="preserve"> </w:t>
      </w:r>
      <w:r w:rsidRPr="00C84F19">
        <w:rPr>
          <w:rFonts w:ascii="Arial" w:hAnsi="Arial" w:cs="Arial"/>
          <w:sz w:val="36"/>
          <w:szCs w:val="36"/>
        </w:rPr>
        <w:t>U</w:t>
      </w:r>
      <w:r w:rsidR="00810777" w:rsidRPr="00C84F19">
        <w:rPr>
          <w:rFonts w:ascii="Arial" w:hAnsi="Arial" w:cs="Arial"/>
          <w:sz w:val="36"/>
          <w:szCs w:val="36"/>
        </w:rPr>
        <w:t xml:space="preserve"> </w:t>
      </w:r>
      <w:r w:rsidRPr="00C84F19">
        <w:rPr>
          <w:rFonts w:ascii="Arial" w:hAnsi="Arial" w:cs="Arial"/>
          <w:sz w:val="36"/>
          <w:szCs w:val="36"/>
        </w:rPr>
        <w:t>I</w:t>
      </w:r>
      <w:r w:rsidR="00810777" w:rsidRPr="00C84F19">
        <w:rPr>
          <w:rFonts w:ascii="Arial" w:hAnsi="Arial" w:cs="Arial"/>
          <w:sz w:val="36"/>
          <w:szCs w:val="36"/>
        </w:rPr>
        <w:t xml:space="preserve"> </w:t>
      </w:r>
      <w:r w:rsidRPr="00C84F19">
        <w:rPr>
          <w:rFonts w:ascii="Arial" w:hAnsi="Arial" w:cs="Arial"/>
          <w:sz w:val="36"/>
          <w:szCs w:val="36"/>
        </w:rPr>
        <w:t>N</w:t>
      </w:r>
      <w:r w:rsidR="00810777" w:rsidRPr="00C84F19">
        <w:rPr>
          <w:rFonts w:ascii="Arial" w:hAnsi="Arial" w:cs="Arial"/>
          <w:sz w:val="36"/>
          <w:szCs w:val="36"/>
        </w:rPr>
        <w:t xml:space="preserve"> </w:t>
      </w:r>
      <w:r w:rsidRPr="00C84F19">
        <w:rPr>
          <w:rFonts w:ascii="Arial" w:hAnsi="Arial" w:cs="Arial"/>
          <w:sz w:val="36"/>
          <w:szCs w:val="36"/>
        </w:rPr>
        <w:t>D</w:t>
      </w:r>
      <w:r w:rsidR="00810777" w:rsidRPr="00C84F19">
        <w:rPr>
          <w:rFonts w:ascii="Arial" w:hAnsi="Arial" w:cs="Arial"/>
          <w:sz w:val="36"/>
          <w:szCs w:val="36"/>
        </w:rPr>
        <w:t xml:space="preserve"> </w:t>
      </w:r>
      <w:r w:rsidRPr="00C84F19">
        <w:rPr>
          <w:rFonts w:ascii="Arial" w:hAnsi="Arial" w:cs="Arial"/>
          <w:sz w:val="36"/>
          <w:szCs w:val="36"/>
        </w:rPr>
        <w:t>Í</w:t>
      </w:r>
      <w:r w:rsidR="00810777" w:rsidRPr="00C84F19">
        <w:rPr>
          <w:rFonts w:ascii="Arial" w:hAnsi="Arial" w:cs="Arial"/>
          <w:sz w:val="36"/>
          <w:szCs w:val="36"/>
        </w:rPr>
        <w:t xml:space="preserve"> </w:t>
      </w:r>
      <w:r w:rsidRPr="00C84F19">
        <w:rPr>
          <w:rFonts w:ascii="Arial" w:hAnsi="Arial" w:cs="Arial"/>
          <w:sz w:val="36"/>
          <w:szCs w:val="36"/>
        </w:rPr>
        <w:t>O</w:t>
      </w:r>
    </w:p>
    <w:p w:rsidR="00AA46ED" w:rsidRDefault="00AA46ED"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3253E9" w:rsidRDefault="003253E9"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AA46ED" w:rsidRDefault="00AA46ED" w:rsidP="0006640F">
      <w:pPr>
        <w:jc w:val="center"/>
        <w:rPr>
          <w:rFonts w:ascii="Bookman Old Style" w:hAnsi="Bookman Old Style" w:cs="Arial"/>
          <w:sz w:val="28"/>
          <w:szCs w:val="28"/>
        </w:rPr>
      </w:pPr>
    </w:p>
    <w:p w:rsidR="00AA46ED" w:rsidRPr="009D5164" w:rsidRDefault="00AA46ED" w:rsidP="0006640F">
      <w:pPr>
        <w:jc w:val="center"/>
        <w:rPr>
          <w:rFonts w:ascii="Arial" w:hAnsi="Arial" w:cs="Arial"/>
          <w:sz w:val="28"/>
          <w:szCs w:val="28"/>
        </w:rPr>
      </w:pPr>
    </w:p>
    <w:p w:rsidR="00AA46ED" w:rsidRPr="009D5164" w:rsidRDefault="00AA46ED" w:rsidP="0006640F">
      <w:pPr>
        <w:jc w:val="center"/>
        <w:rPr>
          <w:rFonts w:ascii="Arial" w:hAnsi="Arial" w:cs="Arial"/>
          <w:b/>
          <w:sz w:val="28"/>
          <w:szCs w:val="28"/>
        </w:rPr>
      </w:pPr>
      <w:r w:rsidRPr="009D5164">
        <w:rPr>
          <w:rFonts w:ascii="Arial" w:hAnsi="Arial" w:cs="Arial"/>
          <w:b/>
          <w:sz w:val="28"/>
          <w:szCs w:val="28"/>
        </w:rPr>
        <w:t xml:space="preserve">ANÁLISIS A LOS ESTADOS CONTABLES </w:t>
      </w:r>
    </w:p>
    <w:p w:rsidR="00AA46ED" w:rsidRPr="009D5164" w:rsidRDefault="00ED021B" w:rsidP="0006640F">
      <w:pPr>
        <w:jc w:val="center"/>
        <w:rPr>
          <w:rFonts w:ascii="Arial" w:hAnsi="Arial" w:cs="Arial"/>
          <w:b/>
          <w:sz w:val="28"/>
          <w:szCs w:val="28"/>
        </w:rPr>
      </w:pPr>
      <w:r>
        <w:rPr>
          <w:rFonts w:ascii="Arial" w:hAnsi="Arial" w:cs="Arial"/>
          <w:b/>
          <w:sz w:val="28"/>
          <w:szCs w:val="28"/>
        </w:rPr>
        <w:t>CON CORTE A MARZO 31 DE 2013</w:t>
      </w:r>
    </w:p>
    <w:p w:rsidR="00AA46ED" w:rsidRPr="009D5164" w:rsidRDefault="00AA46ED" w:rsidP="0006640F">
      <w:pPr>
        <w:jc w:val="center"/>
        <w:rPr>
          <w:rFonts w:ascii="Arial" w:hAnsi="Arial" w:cs="Arial"/>
          <w:sz w:val="28"/>
          <w:szCs w:val="28"/>
        </w:rPr>
      </w:pPr>
    </w:p>
    <w:p w:rsidR="00AA46ED" w:rsidRPr="00C32225" w:rsidRDefault="00AA46ED" w:rsidP="0006640F">
      <w:pPr>
        <w:jc w:val="center"/>
        <w:rPr>
          <w:rFonts w:ascii="Arial" w:hAnsi="Arial" w:cs="Arial"/>
          <w:sz w:val="22"/>
          <w:szCs w:val="22"/>
        </w:rPr>
      </w:pPr>
      <w:r w:rsidRPr="00C32225">
        <w:rPr>
          <w:rFonts w:ascii="Arial" w:hAnsi="Arial" w:cs="Arial"/>
          <w:sz w:val="22"/>
          <w:szCs w:val="22"/>
        </w:rPr>
        <w:t>SECRETARÍA DE HACIENDA</w:t>
      </w:r>
    </w:p>
    <w:p w:rsidR="00AA46ED" w:rsidRPr="00C32225" w:rsidRDefault="00C32225" w:rsidP="0006640F">
      <w:pPr>
        <w:jc w:val="center"/>
        <w:rPr>
          <w:rFonts w:ascii="Arial" w:hAnsi="Arial" w:cs="Arial"/>
          <w:sz w:val="18"/>
          <w:szCs w:val="18"/>
        </w:rPr>
      </w:pPr>
      <w:r w:rsidRPr="00C32225">
        <w:rPr>
          <w:rFonts w:ascii="Arial" w:hAnsi="Arial" w:cs="Arial"/>
          <w:sz w:val="18"/>
          <w:szCs w:val="18"/>
        </w:rPr>
        <w:t>DIRECCIÓN FINANCIERA</w:t>
      </w:r>
    </w:p>
    <w:p w:rsidR="00AA46ED" w:rsidRPr="00C32225" w:rsidRDefault="00AA46ED" w:rsidP="0006640F">
      <w:pPr>
        <w:jc w:val="center"/>
        <w:rPr>
          <w:rFonts w:ascii="Arial" w:hAnsi="Arial" w:cs="Arial"/>
          <w:sz w:val="28"/>
          <w:szCs w:val="28"/>
        </w:rPr>
      </w:pPr>
    </w:p>
    <w:p w:rsidR="00AA46ED" w:rsidRDefault="00AA46ED" w:rsidP="0006640F">
      <w:pPr>
        <w:jc w:val="center"/>
        <w:rPr>
          <w:rFonts w:ascii="Arial" w:hAnsi="Arial" w:cs="Arial"/>
          <w:sz w:val="28"/>
          <w:szCs w:val="28"/>
        </w:rPr>
      </w:pPr>
    </w:p>
    <w:p w:rsidR="003253E9" w:rsidRDefault="003253E9" w:rsidP="0006640F">
      <w:pPr>
        <w:jc w:val="center"/>
        <w:rPr>
          <w:rFonts w:ascii="Arial" w:hAnsi="Arial" w:cs="Arial"/>
          <w:sz w:val="28"/>
          <w:szCs w:val="28"/>
        </w:rPr>
      </w:pPr>
    </w:p>
    <w:p w:rsidR="003253E9" w:rsidRDefault="003253E9" w:rsidP="0006640F">
      <w:pPr>
        <w:jc w:val="center"/>
        <w:rPr>
          <w:rFonts w:ascii="Arial" w:hAnsi="Arial" w:cs="Arial"/>
          <w:sz w:val="28"/>
          <w:szCs w:val="28"/>
        </w:rPr>
      </w:pPr>
    </w:p>
    <w:p w:rsidR="003253E9" w:rsidRDefault="003253E9" w:rsidP="0006640F">
      <w:pPr>
        <w:jc w:val="center"/>
        <w:rPr>
          <w:rFonts w:ascii="Arial" w:hAnsi="Arial" w:cs="Arial"/>
          <w:sz w:val="28"/>
          <w:szCs w:val="28"/>
        </w:rPr>
      </w:pPr>
    </w:p>
    <w:p w:rsidR="003253E9" w:rsidRDefault="003253E9" w:rsidP="0006640F">
      <w:pPr>
        <w:jc w:val="center"/>
        <w:rPr>
          <w:rFonts w:ascii="Arial" w:hAnsi="Arial" w:cs="Arial"/>
          <w:sz w:val="28"/>
          <w:szCs w:val="28"/>
        </w:rPr>
      </w:pPr>
    </w:p>
    <w:p w:rsidR="003253E9" w:rsidRDefault="003253E9" w:rsidP="0006640F">
      <w:pPr>
        <w:jc w:val="center"/>
        <w:rPr>
          <w:rFonts w:ascii="Arial" w:hAnsi="Arial" w:cs="Arial"/>
          <w:sz w:val="28"/>
          <w:szCs w:val="28"/>
        </w:rPr>
      </w:pPr>
    </w:p>
    <w:p w:rsidR="003253E9" w:rsidRDefault="003253E9" w:rsidP="0006640F">
      <w:pPr>
        <w:jc w:val="center"/>
        <w:rPr>
          <w:rFonts w:ascii="Arial" w:hAnsi="Arial" w:cs="Arial"/>
          <w:sz w:val="28"/>
          <w:szCs w:val="28"/>
        </w:rPr>
      </w:pPr>
    </w:p>
    <w:p w:rsidR="003253E9" w:rsidRDefault="003253E9" w:rsidP="0006640F">
      <w:pPr>
        <w:jc w:val="center"/>
        <w:rPr>
          <w:rFonts w:ascii="Arial" w:hAnsi="Arial" w:cs="Arial"/>
          <w:sz w:val="28"/>
          <w:szCs w:val="28"/>
        </w:rPr>
      </w:pPr>
    </w:p>
    <w:p w:rsidR="000D4C0A" w:rsidRPr="009D5164" w:rsidRDefault="000D4C0A" w:rsidP="0006640F">
      <w:pPr>
        <w:jc w:val="center"/>
        <w:rPr>
          <w:rFonts w:ascii="Arial" w:hAnsi="Arial" w:cs="Arial"/>
          <w:sz w:val="28"/>
          <w:szCs w:val="28"/>
        </w:rPr>
      </w:pPr>
    </w:p>
    <w:p w:rsidR="00AA46ED" w:rsidRPr="009D5164" w:rsidRDefault="00AA46ED" w:rsidP="0006640F">
      <w:pPr>
        <w:jc w:val="center"/>
        <w:rPr>
          <w:rFonts w:ascii="Arial" w:hAnsi="Arial" w:cs="Arial"/>
          <w:sz w:val="28"/>
          <w:szCs w:val="28"/>
        </w:rPr>
      </w:pPr>
    </w:p>
    <w:p w:rsidR="00B97138" w:rsidRDefault="00B97138" w:rsidP="0006640F">
      <w:pPr>
        <w:jc w:val="center"/>
        <w:rPr>
          <w:rFonts w:ascii="Arial" w:hAnsi="Arial" w:cs="Arial"/>
          <w:sz w:val="28"/>
          <w:szCs w:val="28"/>
        </w:rPr>
      </w:pPr>
    </w:p>
    <w:p w:rsidR="003253E9" w:rsidRPr="009D5164" w:rsidRDefault="003253E9" w:rsidP="0006640F">
      <w:pPr>
        <w:jc w:val="center"/>
        <w:rPr>
          <w:rFonts w:ascii="Arial" w:hAnsi="Arial" w:cs="Arial"/>
          <w:sz w:val="28"/>
          <w:szCs w:val="28"/>
        </w:rPr>
      </w:pPr>
    </w:p>
    <w:p w:rsidR="00B97138" w:rsidRDefault="00B97138" w:rsidP="0006640F">
      <w:pPr>
        <w:jc w:val="center"/>
        <w:rPr>
          <w:rFonts w:ascii="Arial" w:hAnsi="Arial" w:cs="Arial"/>
          <w:sz w:val="28"/>
          <w:szCs w:val="28"/>
        </w:rPr>
      </w:pPr>
    </w:p>
    <w:p w:rsidR="003253E9" w:rsidRDefault="003253E9" w:rsidP="0006640F">
      <w:pPr>
        <w:jc w:val="center"/>
        <w:rPr>
          <w:rFonts w:ascii="Arial" w:hAnsi="Arial" w:cs="Arial"/>
          <w:sz w:val="28"/>
          <w:szCs w:val="28"/>
        </w:rPr>
      </w:pPr>
    </w:p>
    <w:p w:rsidR="003253E9" w:rsidRPr="009D5164" w:rsidRDefault="003253E9" w:rsidP="0006640F">
      <w:pPr>
        <w:jc w:val="center"/>
        <w:rPr>
          <w:rFonts w:ascii="Arial" w:hAnsi="Arial" w:cs="Arial"/>
          <w:sz w:val="28"/>
          <w:szCs w:val="28"/>
        </w:rPr>
      </w:pPr>
    </w:p>
    <w:p w:rsidR="00B97138" w:rsidRPr="009D5164" w:rsidRDefault="00B97138" w:rsidP="0006640F">
      <w:pPr>
        <w:jc w:val="center"/>
        <w:rPr>
          <w:rFonts w:ascii="Arial" w:hAnsi="Arial" w:cs="Arial"/>
          <w:sz w:val="28"/>
          <w:szCs w:val="28"/>
        </w:rPr>
      </w:pPr>
    </w:p>
    <w:p w:rsidR="00C32225" w:rsidRPr="00360BC1" w:rsidRDefault="00ED021B" w:rsidP="00360BC1">
      <w:pPr>
        <w:jc w:val="center"/>
        <w:rPr>
          <w:rFonts w:ascii="Arial" w:hAnsi="Arial" w:cs="Arial"/>
          <w:sz w:val="28"/>
          <w:szCs w:val="28"/>
        </w:rPr>
      </w:pPr>
      <w:r>
        <w:rPr>
          <w:rFonts w:ascii="Arial" w:hAnsi="Arial" w:cs="Arial"/>
          <w:sz w:val="28"/>
          <w:szCs w:val="28"/>
        </w:rPr>
        <w:t>Armenia, mayo de 2013</w:t>
      </w:r>
    </w:p>
    <w:p w:rsidR="00C32225" w:rsidRDefault="00C32225" w:rsidP="00C32225">
      <w:pPr>
        <w:jc w:val="center"/>
        <w:rPr>
          <w:rFonts w:ascii="Arial" w:hAnsi="Arial" w:cs="Arial"/>
          <w:b/>
        </w:rPr>
      </w:pPr>
      <w:r w:rsidRPr="008B028C">
        <w:rPr>
          <w:rFonts w:ascii="Arial" w:hAnsi="Arial" w:cs="Arial"/>
          <w:b/>
        </w:rPr>
        <w:lastRenderedPageBreak/>
        <w:t>1. EL BALANCE GENERAL</w:t>
      </w:r>
    </w:p>
    <w:p w:rsidR="00C32225" w:rsidRDefault="00C32225" w:rsidP="00C32225">
      <w:pPr>
        <w:jc w:val="center"/>
        <w:rPr>
          <w:rFonts w:ascii="Arial" w:hAnsi="Arial" w:cs="Arial"/>
          <w:b/>
        </w:rPr>
      </w:pPr>
    </w:p>
    <w:p w:rsidR="00C32225" w:rsidRPr="008B028C" w:rsidRDefault="00C32225" w:rsidP="00C32225">
      <w:pPr>
        <w:jc w:val="center"/>
        <w:rPr>
          <w:rFonts w:ascii="Arial" w:hAnsi="Arial" w:cs="Arial"/>
          <w:b/>
        </w:rPr>
      </w:pPr>
    </w:p>
    <w:p w:rsidR="00C32225" w:rsidRDefault="00C32225" w:rsidP="00C32225">
      <w:pPr>
        <w:jc w:val="both"/>
        <w:rPr>
          <w:rFonts w:ascii="Arial" w:hAnsi="Arial" w:cs="Arial"/>
          <w:lang w:val="es-MX"/>
        </w:rPr>
      </w:pPr>
      <w:r w:rsidRPr="009E7328">
        <w:rPr>
          <w:rFonts w:ascii="Arial" w:hAnsi="Arial" w:cs="Arial"/>
          <w:lang w:val="es-MX"/>
        </w:rPr>
        <w:t xml:space="preserve">En cumplimiento de las directrices fijadas por la Contaduría General de la Nación, el Departamento del Quindío, presenta la información financiera consolidada </w:t>
      </w:r>
      <w:r>
        <w:rPr>
          <w:rFonts w:ascii="Arial" w:hAnsi="Arial" w:cs="Arial"/>
          <w:lang w:val="es-MX"/>
        </w:rPr>
        <w:t xml:space="preserve">del sector central de la administración, </w:t>
      </w:r>
      <w:r w:rsidR="00C718F4">
        <w:rPr>
          <w:rFonts w:ascii="Arial" w:hAnsi="Arial" w:cs="Arial"/>
          <w:lang w:val="es-MX"/>
        </w:rPr>
        <w:t>con 54</w:t>
      </w:r>
      <w:r w:rsidRPr="009E7328">
        <w:rPr>
          <w:rFonts w:ascii="Arial" w:hAnsi="Arial" w:cs="Arial"/>
          <w:lang w:val="es-MX"/>
        </w:rPr>
        <w:t xml:space="preserve"> Establecimientos Educativos y </w:t>
      </w:r>
      <w:r>
        <w:rPr>
          <w:rFonts w:ascii="Arial" w:hAnsi="Arial" w:cs="Arial"/>
          <w:lang w:val="es-MX"/>
        </w:rPr>
        <w:t>la Contraloría Departamental, con la siguiente distribución:</w:t>
      </w:r>
    </w:p>
    <w:p w:rsidR="009642B2" w:rsidRDefault="009642B2" w:rsidP="00C32225">
      <w:pPr>
        <w:jc w:val="both"/>
        <w:rPr>
          <w:rFonts w:ascii="Arial" w:hAnsi="Arial" w:cs="Arial"/>
          <w:lang w:val="es-MX"/>
        </w:rPr>
      </w:pPr>
    </w:p>
    <w:p w:rsidR="00C32225" w:rsidRDefault="00C32225" w:rsidP="00C32225">
      <w:pPr>
        <w:jc w:val="both"/>
        <w:rPr>
          <w:rFonts w:ascii="Arial" w:hAnsi="Arial" w:cs="Arial"/>
          <w:lang w:val="es-MX"/>
        </w:rPr>
      </w:pPr>
    </w:p>
    <w:tbl>
      <w:tblPr>
        <w:tblW w:w="0" w:type="auto"/>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155"/>
        <w:gridCol w:w="1137"/>
        <w:gridCol w:w="1276"/>
        <w:gridCol w:w="1216"/>
      </w:tblGrid>
      <w:tr w:rsidR="00C32225" w:rsidRPr="00381CE3" w:rsidTr="00C718F4">
        <w:trPr>
          <w:jc w:val="center"/>
        </w:trPr>
        <w:tc>
          <w:tcPr>
            <w:tcW w:w="2155" w:type="dxa"/>
            <w:shd w:val="clear" w:color="auto" w:fill="4BACC6"/>
          </w:tcPr>
          <w:p w:rsidR="00C32225" w:rsidRPr="00082BE8" w:rsidRDefault="00C32225" w:rsidP="0014341C">
            <w:pPr>
              <w:jc w:val="both"/>
              <w:rPr>
                <w:rFonts w:ascii="Arial" w:eastAsia="Times New Roman" w:hAnsi="Arial" w:cs="Arial"/>
                <w:b/>
                <w:bCs/>
                <w:color w:val="000000"/>
                <w:sz w:val="16"/>
                <w:szCs w:val="16"/>
                <w:lang w:val="es-MX"/>
              </w:rPr>
            </w:pPr>
            <w:r w:rsidRPr="00082BE8">
              <w:rPr>
                <w:rFonts w:ascii="Arial" w:eastAsia="Times New Roman" w:hAnsi="Arial" w:cs="Arial"/>
                <w:b/>
                <w:bCs/>
                <w:color w:val="000000"/>
                <w:sz w:val="16"/>
                <w:szCs w:val="16"/>
                <w:lang w:val="es-MX"/>
              </w:rPr>
              <w:t>Entidad</w:t>
            </w:r>
          </w:p>
        </w:tc>
        <w:tc>
          <w:tcPr>
            <w:tcW w:w="1137" w:type="dxa"/>
            <w:shd w:val="clear" w:color="auto" w:fill="4BACC6"/>
          </w:tcPr>
          <w:p w:rsidR="00C32225" w:rsidRPr="00082BE8" w:rsidRDefault="00C32225" w:rsidP="00C718F4">
            <w:pPr>
              <w:jc w:val="center"/>
              <w:rPr>
                <w:rFonts w:ascii="Arial" w:eastAsia="Times New Roman" w:hAnsi="Arial" w:cs="Arial"/>
                <w:b/>
                <w:bCs/>
                <w:color w:val="000000"/>
                <w:sz w:val="16"/>
                <w:szCs w:val="16"/>
                <w:lang w:val="es-MX"/>
              </w:rPr>
            </w:pPr>
            <w:r w:rsidRPr="00082BE8">
              <w:rPr>
                <w:rFonts w:ascii="Arial" w:eastAsia="Times New Roman" w:hAnsi="Arial" w:cs="Arial"/>
                <w:b/>
                <w:bCs/>
                <w:color w:val="000000"/>
                <w:sz w:val="16"/>
                <w:szCs w:val="16"/>
                <w:lang w:val="es-MX"/>
              </w:rPr>
              <w:t>Activos</w:t>
            </w:r>
          </w:p>
        </w:tc>
        <w:tc>
          <w:tcPr>
            <w:tcW w:w="1276" w:type="dxa"/>
            <w:shd w:val="clear" w:color="auto" w:fill="4BACC6"/>
          </w:tcPr>
          <w:p w:rsidR="00C32225" w:rsidRPr="00082BE8" w:rsidRDefault="00C32225" w:rsidP="00C718F4">
            <w:pPr>
              <w:jc w:val="center"/>
              <w:rPr>
                <w:rFonts w:ascii="Arial" w:eastAsia="Times New Roman" w:hAnsi="Arial" w:cs="Arial"/>
                <w:b/>
                <w:bCs/>
                <w:color w:val="000000"/>
                <w:sz w:val="16"/>
                <w:szCs w:val="16"/>
                <w:lang w:val="es-MX"/>
              </w:rPr>
            </w:pPr>
            <w:r w:rsidRPr="00082BE8">
              <w:rPr>
                <w:rFonts w:ascii="Arial" w:eastAsia="Times New Roman" w:hAnsi="Arial" w:cs="Arial"/>
                <w:b/>
                <w:bCs/>
                <w:color w:val="000000"/>
                <w:sz w:val="16"/>
                <w:szCs w:val="16"/>
                <w:lang w:val="es-MX"/>
              </w:rPr>
              <w:t>Pasivos</w:t>
            </w:r>
          </w:p>
        </w:tc>
        <w:tc>
          <w:tcPr>
            <w:tcW w:w="1216" w:type="dxa"/>
            <w:shd w:val="clear" w:color="auto" w:fill="4BACC6"/>
          </w:tcPr>
          <w:p w:rsidR="00C32225" w:rsidRPr="00082BE8" w:rsidRDefault="00C32225" w:rsidP="00C718F4">
            <w:pPr>
              <w:jc w:val="center"/>
              <w:rPr>
                <w:rFonts w:ascii="Arial" w:eastAsia="Times New Roman" w:hAnsi="Arial" w:cs="Arial"/>
                <w:b/>
                <w:bCs/>
                <w:color w:val="000000"/>
                <w:sz w:val="16"/>
                <w:szCs w:val="16"/>
                <w:lang w:val="es-MX"/>
              </w:rPr>
            </w:pPr>
            <w:r w:rsidRPr="00082BE8">
              <w:rPr>
                <w:rFonts w:ascii="Arial" w:eastAsia="Times New Roman" w:hAnsi="Arial" w:cs="Arial"/>
                <w:b/>
                <w:bCs/>
                <w:color w:val="000000"/>
                <w:sz w:val="16"/>
                <w:szCs w:val="16"/>
                <w:lang w:val="es-MX"/>
              </w:rPr>
              <w:t>Patrimonio</w:t>
            </w:r>
          </w:p>
        </w:tc>
      </w:tr>
      <w:tr w:rsidR="00C32225" w:rsidRPr="00381CE3" w:rsidTr="00C718F4">
        <w:trPr>
          <w:jc w:val="center"/>
        </w:trPr>
        <w:tc>
          <w:tcPr>
            <w:tcW w:w="2155" w:type="dxa"/>
            <w:tcBorders>
              <w:top w:val="single" w:sz="8" w:space="0" w:color="4BACC6"/>
              <w:left w:val="single" w:sz="8" w:space="0" w:color="4BACC6"/>
              <w:bottom w:val="single" w:sz="8" w:space="0" w:color="4BACC6"/>
            </w:tcBorders>
          </w:tcPr>
          <w:p w:rsidR="00C32225" w:rsidRPr="00082BE8" w:rsidRDefault="00C32225" w:rsidP="0014341C">
            <w:pPr>
              <w:jc w:val="both"/>
              <w:rPr>
                <w:rFonts w:ascii="Arial" w:hAnsi="Arial" w:cs="Arial"/>
                <w:b/>
                <w:bCs/>
                <w:color w:val="000000"/>
                <w:sz w:val="16"/>
                <w:szCs w:val="16"/>
                <w:lang w:val="es-MX"/>
              </w:rPr>
            </w:pPr>
            <w:r w:rsidRPr="00082BE8">
              <w:rPr>
                <w:rFonts w:ascii="Arial" w:hAnsi="Arial" w:cs="Arial"/>
                <w:b/>
                <w:bCs/>
                <w:color w:val="000000"/>
                <w:sz w:val="16"/>
                <w:szCs w:val="16"/>
                <w:lang w:val="es-MX"/>
              </w:rPr>
              <w:t>Sector central</w:t>
            </w:r>
          </w:p>
        </w:tc>
        <w:tc>
          <w:tcPr>
            <w:tcW w:w="1137" w:type="dxa"/>
            <w:tcBorders>
              <w:top w:val="single" w:sz="8" w:space="0" w:color="4BACC6"/>
              <w:bottom w:val="single" w:sz="8" w:space="0" w:color="4BACC6"/>
            </w:tcBorders>
          </w:tcPr>
          <w:p w:rsidR="00C32225" w:rsidRPr="00082BE8" w:rsidRDefault="00064585" w:rsidP="00064585">
            <w:pPr>
              <w:jc w:val="right"/>
              <w:rPr>
                <w:rFonts w:ascii="Arial" w:hAnsi="Arial" w:cs="Arial"/>
                <w:color w:val="000000"/>
                <w:sz w:val="16"/>
                <w:szCs w:val="16"/>
                <w:lang w:val="es-MX"/>
              </w:rPr>
            </w:pPr>
            <w:r>
              <w:rPr>
                <w:rFonts w:ascii="Arial" w:hAnsi="Arial" w:cs="Arial"/>
                <w:color w:val="000000"/>
                <w:sz w:val="16"/>
                <w:szCs w:val="16"/>
                <w:lang w:val="es-MX"/>
              </w:rPr>
              <w:t>98.1</w:t>
            </w:r>
            <w:r w:rsidR="00407528">
              <w:rPr>
                <w:rFonts w:ascii="Arial" w:hAnsi="Arial" w:cs="Arial"/>
                <w:color w:val="000000"/>
                <w:sz w:val="16"/>
                <w:szCs w:val="16"/>
                <w:lang w:val="es-MX"/>
              </w:rPr>
              <w:t>%</w:t>
            </w:r>
          </w:p>
        </w:tc>
        <w:tc>
          <w:tcPr>
            <w:tcW w:w="1276" w:type="dxa"/>
            <w:tcBorders>
              <w:top w:val="single" w:sz="8" w:space="0" w:color="4BACC6"/>
              <w:bottom w:val="single" w:sz="8" w:space="0" w:color="4BACC6"/>
            </w:tcBorders>
          </w:tcPr>
          <w:p w:rsidR="00C32225" w:rsidRPr="00082BE8" w:rsidRDefault="00064585" w:rsidP="0014341C">
            <w:pPr>
              <w:jc w:val="right"/>
              <w:rPr>
                <w:rFonts w:ascii="Arial" w:hAnsi="Arial" w:cs="Arial"/>
                <w:color w:val="000000"/>
                <w:sz w:val="16"/>
                <w:szCs w:val="16"/>
                <w:lang w:val="es-MX"/>
              </w:rPr>
            </w:pPr>
            <w:r>
              <w:rPr>
                <w:rFonts w:ascii="Arial" w:hAnsi="Arial" w:cs="Arial"/>
                <w:color w:val="000000"/>
                <w:sz w:val="16"/>
                <w:szCs w:val="16"/>
                <w:lang w:val="es-MX"/>
              </w:rPr>
              <w:t>99.85</w:t>
            </w:r>
            <w:r w:rsidR="00407528">
              <w:rPr>
                <w:rFonts w:ascii="Arial" w:hAnsi="Arial" w:cs="Arial"/>
                <w:color w:val="000000"/>
                <w:sz w:val="16"/>
                <w:szCs w:val="16"/>
                <w:lang w:val="es-MX"/>
              </w:rPr>
              <w:t>%</w:t>
            </w:r>
          </w:p>
        </w:tc>
        <w:tc>
          <w:tcPr>
            <w:tcW w:w="1216" w:type="dxa"/>
            <w:tcBorders>
              <w:top w:val="single" w:sz="8" w:space="0" w:color="4BACC6"/>
              <w:bottom w:val="single" w:sz="8" w:space="0" w:color="4BACC6"/>
              <w:right w:val="single" w:sz="8" w:space="0" w:color="4BACC6"/>
            </w:tcBorders>
          </w:tcPr>
          <w:p w:rsidR="00C32225" w:rsidRPr="00082BE8" w:rsidRDefault="00064585" w:rsidP="00064585">
            <w:pPr>
              <w:jc w:val="right"/>
              <w:rPr>
                <w:rFonts w:ascii="Arial" w:hAnsi="Arial" w:cs="Arial"/>
                <w:color w:val="000000"/>
                <w:sz w:val="16"/>
                <w:szCs w:val="16"/>
                <w:lang w:val="es-MX"/>
              </w:rPr>
            </w:pPr>
            <w:r>
              <w:rPr>
                <w:rFonts w:ascii="Arial" w:hAnsi="Arial" w:cs="Arial"/>
                <w:color w:val="000000"/>
                <w:sz w:val="16"/>
                <w:szCs w:val="16"/>
                <w:lang w:val="es-MX"/>
              </w:rPr>
              <w:t>97.28</w:t>
            </w:r>
            <w:r w:rsidR="00C85E44">
              <w:rPr>
                <w:rFonts w:ascii="Arial" w:hAnsi="Arial" w:cs="Arial"/>
                <w:color w:val="000000"/>
                <w:sz w:val="16"/>
                <w:szCs w:val="16"/>
                <w:lang w:val="es-MX"/>
              </w:rPr>
              <w:t>%</w:t>
            </w:r>
          </w:p>
        </w:tc>
      </w:tr>
      <w:tr w:rsidR="00C32225" w:rsidRPr="00381CE3" w:rsidTr="00C718F4">
        <w:trPr>
          <w:jc w:val="center"/>
        </w:trPr>
        <w:tc>
          <w:tcPr>
            <w:tcW w:w="2155" w:type="dxa"/>
          </w:tcPr>
          <w:p w:rsidR="00C32225" w:rsidRPr="00082BE8" w:rsidRDefault="00C32225" w:rsidP="0014341C">
            <w:pPr>
              <w:jc w:val="both"/>
              <w:rPr>
                <w:rFonts w:ascii="Arial" w:hAnsi="Arial" w:cs="Arial"/>
                <w:b/>
                <w:bCs/>
                <w:color w:val="000000"/>
                <w:sz w:val="16"/>
                <w:szCs w:val="16"/>
                <w:lang w:val="es-MX"/>
              </w:rPr>
            </w:pPr>
            <w:r w:rsidRPr="00082BE8">
              <w:rPr>
                <w:rFonts w:ascii="Arial" w:hAnsi="Arial" w:cs="Arial"/>
                <w:b/>
                <w:bCs/>
                <w:color w:val="000000"/>
                <w:sz w:val="16"/>
                <w:szCs w:val="16"/>
                <w:lang w:val="es-MX"/>
              </w:rPr>
              <w:t>Instituciones Ed</w:t>
            </w:r>
            <w:r w:rsidR="00C718F4">
              <w:rPr>
                <w:rFonts w:ascii="Arial" w:hAnsi="Arial" w:cs="Arial"/>
                <w:b/>
                <w:bCs/>
                <w:color w:val="000000"/>
                <w:sz w:val="16"/>
                <w:szCs w:val="16"/>
                <w:lang w:val="es-MX"/>
              </w:rPr>
              <w:t>ucativas</w:t>
            </w:r>
          </w:p>
        </w:tc>
        <w:tc>
          <w:tcPr>
            <w:tcW w:w="1137" w:type="dxa"/>
          </w:tcPr>
          <w:p w:rsidR="00C32225" w:rsidRPr="00082BE8" w:rsidRDefault="00064585" w:rsidP="0014341C">
            <w:pPr>
              <w:jc w:val="right"/>
              <w:rPr>
                <w:rFonts w:ascii="Arial" w:hAnsi="Arial" w:cs="Arial"/>
                <w:color w:val="000000"/>
                <w:sz w:val="16"/>
                <w:szCs w:val="16"/>
                <w:lang w:val="es-MX"/>
              </w:rPr>
            </w:pPr>
            <w:r>
              <w:rPr>
                <w:rFonts w:ascii="Arial" w:hAnsi="Arial" w:cs="Arial"/>
                <w:color w:val="000000"/>
                <w:sz w:val="16"/>
                <w:szCs w:val="16"/>
                <w:lang w:val="es-MX"/>
              </w:rPr>
              <w:t>1.8</w:t>
            </w:r>
            <w:r w:rsidR="00407528">
              <w:rPr>
                <w:rFonts w:ascii="Arial" w:hAnsi="Arial" w:cs="Arial"/>
                <w:color w:val="000000"/>
                <w:sz w:val="16"/>
                <w:szCs w:val="16"/>
                <w:lang w:val="es-MX"/>
              </w:rPr>
              <w:t>%</w:t>
            </w:r>
          </w:p>
        </w:tc>
        <w:tc>
          <w:tcPr>
            <w:tcW w:w="1276" w:type="dxa"/>
          </w:tcPr>
          <w:p w:rsidR="00C32225" w:rsidRPr="00082BE8" w:rsidRDefault="00064585" w:rsidP="0014341C">
            <w:pPr>
              <w:jc w:val="right"/>
              <w:rPr>
                <w:rFonts w:ascii="Arial" w:hAnsi="Arial" w:cs="Arial"/>
                <w:color w:val="000000"/>
                <w:sz w:val="16"/>
                <w:szCs w:val="16"/>
                <w:lang w:val="es-MX"/>
              </w:rPr>
            </w:pPr>
            <w:r>
              <w:rPr>
                <w:rFonts w:ascii="Arial" w:hAnsi="Arial" w:cs="Arial"/>
                <w:color w:val="000000"/>
                <w:sz w:val="16"/>
                <w:szCs w:val="16"/>
                <w:lang w:val="es-MX"/>
              </w:rPr>
              <w:t>0.02</w:t>
            </w:r>
            <w:r w:rsidR="00407528">
              <w:rPr>
                <w:rFonts w:ascii="Arial" w:hAnsi="Arial" w:cs="Arial"/>
                <w:color w:val="000000"/>
                <w:sz w:val="16"/>
                <w:szCs w:val="16"/>
                <w:lang w:val="es-MX"/>
              </w:rPr>
              <w:t>%</w:t>
            </w:r>
          </w:p>
        </w:tc>
        <w:tc>
          <w:tcPr>
            <w:tcW w:w="1216" w:type="dxa"/>
          </w:tcPr>
          <w:p w:rsidR="00C32225" w:rsidRPr="00082BE8" w:rsidRDefault="00064585" w:rsidP="0014341C">
            <w:pPr>
              <w:jc w:val="right"/>
              <w:rPr>
                <w:rFonts w:ascii="Arial" w:hAnsi="Arial" w:cs="Arial"/>
                <w:color w:val="000000"/>
                <w:sz w:val="16"/>
                <w:szCs w:val="16"/>
                <w:lang w:val="es-MX"/>
              </w:rPr>
            </w:pPr>
            <w:r>
              <w:rPr>
                <w:rFonts w:ascii="Arial" w:hAnsi="Arial" w:cs="Arial"/>
                <w:color w:val="000000"/>
                <w:sz w:val="16"/>
                <w:szCs w:val="16"/>
                <w:lang w:val="es-MX"/>
              </w:rPr>
              <w:t>2.64</w:t>
            </w:r>
            <w:r w:rsidR="00C85E44">
              <w:rPr>
                <w:rFonts w:ascii="Arial" w:hAnsi="Arial" w:cs="Arial"/>
                <w:color w:val="000000"/>
                <w:sz w:val="16"/>
                <w:szCs w:val="16"/>
                <w:lang w:val="es-MX"/>
              </w:rPr>
              <w:t>%</w:t>
            </w:r>
          </w:p>
        </w:tc>
      </w:tr>
      <w:tr w:rsidR="00C32225" w:rsidRPr="00381CE3" w:rsidTr="00C718F4">
        <w:trPr>
          <w:jc w:val="center"/>
        </w:trPr>
        <w:tc>
          <w:tcPr>
            <w:tcW w:w="2155" w:type="dxa"/>
            <w:tcBorders>
              <w:top w:val="single" w:sz="8" w:space="0" w:color="4BACC6"/>
              <w:left w:val="single" w:sz="8" w:space="0" w:color="4BACC6"/>
              <w:bottom w:val="single" w:sz="8" w:space="0" w:color="4BACC6"/>
            </w:tcBorders>
          </w:tcPr>
          <w:p w:rsidR="00C32225" w:rsidRPr="00082BE8" w:rsidRDefault="00C32225" w:rsidP="0014341C">
            <w:pPr>
              <w:jc w:val="both"/>
              <w:rPr>
                <w:rFonts w:ascii="Arial" w:hAnsi="Arial" w:cs="Arial"/>
                <w:b/>
                <w:bCs/>
                <w:color w:val="000000"/>
                <w:sz w:val="16"/>
                <w:szCs w:val="16"/>
                <w:lang w:val="es-MX"/>
              </w:rPr>
            </w:pPr>
            <w:r w:rsidRPr="00082BE8">
              <w:rPr>
                <w:rFonts w:ascii="Arial" w:hAnsi="Arial" w:cs="Arial"/>
                <w:b/>
                <w:bCs/>
                <w:color w:val="000000"/>
                <w:sz w:val="16"/>
                <w:szCs w:val="16"/>
                <w:lang w:val="es-MX"/>
              </w:rPr>
              <w:t xml:space="preserve">Contraloría </w:t>
            </w:r>
          </w:p>
        </w:tc>
        <w:tc>
          <w:tcPr>
            <w:tcW w:w="1137" w:type="dxa"/>
            <w:tcBorders>
              <w:top w:val="single" w:sz="8" w:space="0" w:color="4BACC6"/>
              <w:bottom w:val="single" w:sz="8" w:space="0" w:color="4BACC6"/>
            </w:tcBorders>
          </w:tcPr>
          <w:p w:rsidR="00C32225" w:rsidRPr="00082BE8" w:rsidRDefault="00064585" w:rsidP="0014341C">
            <w:pPr>
              <w:jc w:val="right"/>
              <w:rPr>
                <w:rFonts w:ascii="Arial" w:hAnsi="Arial" w:cs="Arial"/>
                <w:color w:val="000000"/>
                <w:sz w:val="16"/>
                <w:szCs w:val="16"/>
                <w:lang w:val="es-MX"/>
              </w:rPr>
            </w:pPr>
            <w:r>
              <w:rPr>
                <w:rFonts w:ascii="Arial" w:hAnsi="Arial" w:cs="Arial"/>
                <w:color w:val="000000"/>
                <w:sz w:val="16"/>
                <w:szCs w:val="16"/>
                <w:lang w:val="es-MX"/>
              </w:rPr>
              <w:t>0.1</w:t>
            </w:r>
            <w:r w:rsidR="00407528">
              <w:rPr>
                <w:rFonts w:ascii="Arial" w:hAnsi="Arial" w:cs="Arial"/>
                <w:color w:val="000000"/>
                <w:sz w:val="16"/>
                <w:szCs w:val="16"/>
                <w:lang w:val="es-MX"/>
              </w:rPr>
              <w:t>%</w:t>
            </w:r>
          </w:p>
        </w:tc>
        <w:tc>
          <w:tcPr>
            <w:tcW w:w="1276" w:type="dxa"/>
            <w:tcBorders>
              <w:top w:val="single" w:sz="8" w:space="0" w:color="4BACC6"/>
              <w:bottom w:val="single" w:sz="8" w:space="0" w:color="4BACC6"/>
            </w:tcBorders>
          </w:tcPr>
          <w:p w:rsidR="00C32225" w:rsidRPr="00082BE8" w:rsidRDefault="00064585" w:rsidP="0014341C">
            <w:pPr>
              <w:jc w:val="right"/>
              <w:rPr>
                <w:rFonts w:ascii="Arial" w:hAnsi="Arial" w:cs="Arial"/>
                <w:color w:val="000000"/>
                <w:sz w:val="16"/>
                <w:szCs w:val="16"/>
                <w:lang w:val="es-MX"/>
              </w:rPr>
            </w:pPr>
            <w:r>
              <w:rPr>
                <w:rFonts w:ascii="Arial" w:hAnsi="Arial" w:cs="Arial"/>
                <w:color w:val="000000"/>
                <w:sz w:val="16"/>
                <w:szCs w:val="16"/>
                <w:lang w:val="es-MX"/>
              </w:rPr>
              <w:t>0.13</w:t>
            </w:r>
            <w:r w:rsidR="00407528">
              <w:rPr>
                <w:rFonts w:ascii="Arial" w:hAnsi="Arial" w:cs="Arial"/>
                <w:color w:val="000000"/>
                <w:sz w:val="16"/>
                <w:szCs w:val="16"/>
                <w:lang w:val="es-MX"/>
              </w:rPr>
              <w:t>%</w:t>
            </w:r>
          </w:p>
        </w:tc>
        <w:tc>
          <w:tcPr>
            <w:tcW w:w="1216" w:type="dxa"/>
            <w:tcBorders>
              <w:top w:val="single" w:sz="8" w:space="0" w:color="4BACC6"/>
              <w:bottom w:val="single" w:sz="8" w:space="0" w:color="4BACC6"/>
              <w:right w:val="single" w:sz="8" w:space="0" w:color="4BACC6"/>
            </w:tcBorders>
          </w:tcPr>
          <w:p w:rsidR="00C32225" w:rsidRPr="00082BE8" w:rsidRDefault="00064585" w:rsidP="0014341C">
            <w:pPr>
              <w:jc w:val="right"/>
              <w:rPr>
                <w:rFonts w:ascii="Arial" w:hAnsi="Arial" w:cs="Arial"/>
                <w:color w:val="000000"/>
                <w:sz w:val="16"/>
                <w:szCs w:val="16"/>
                <w:lang w:val="es-MX"/>
              </w:rPr>
            </w:pPr>
            <w:r>
              <w:rPr>
                <w:rFonts w:ascii="Arial" w:hAnsi="Arial" w:cs="Arial"/>
                <w:color w:val="000000"/>
                <w:sz w:val="16"/>
                <w:szCs w:val="16"/>
                <w:lang w:val="es-MX"/>
              </w:rPr>
              <w:t>0.08</w:t>
            </w:r>
            <w:r w:rsidR="00C85E44">
              <w:rPr>
                <w:rFonts w:ascii="Arial" w:hAnsi="Arial" w:cs="Arial"/>
                <w:color w:val="000000"/>
                <w:sz w:val="16"/>
                <w:szCs w:val="16"/>
                <w:lang w:val="es-MX"/>
              </w:rPr>
              <w:t>%</w:t>
            </w:r>
          </w:p>
        </w:tc>
      </w:tr>
      <w:tr w:rsidR="00C32225" w:rsidRPr="00381CE3" w:rsidTr="00C718F4">
        <w:trPr>
          <w:jc w:val="center"/>
        </w:trPr>
        <w:tc>
          <w:tcPr>
            <w:tcW w:w="2155" w:type="dxa"/>
          </w:tcPr>
          <w:p w:rsidR="00C32225" w:rsidRPr="00082BE8" w:rsidRDefault="00C32225" w:rsidP="0014341C">
            <w:pPr>
              <w:jc w:val="both"/>
              <w:rPr>
                <w:rFonts w:ascii="Arial" w:hAnsi="Arial" w:cs="Arial"/>
                <w:b/>
                <w:bCs/>
                <w:color w:val="000000"/>
                <w:sz w:val="16"/>
                <w:szCs w:val="16"/>
                <w:lang w:val="es-MX"/>
              </w:rPr>
            </w:pPr>
            <w:r w:rsidRPr="00082BE8">
              <w:rPr>
                <w:rFonts w:ascii="Arial" w:hAnsi="Arial" w:cs="Arial"/>
                <w:b/>
                <w:bCs/>
                <w:color w:val="000000"/>
                <w:sz w:val="16"/>
                <w:szCs w:val="16"/>
                <w:lang w:val="es-MX"/>
              </w:rPr>
              <w:t>Totales</w:t>
            </w:r>
          </w:p>
        </w:tc>
        <w:tc>
          <w:tcPr>
            <w:tcW w:w="1137" w:type="dxa"/>
          </w:tcPr>
          <w:p w:rsidR="00C32225" w:rsidRPr="00082BE8" w:rsidRDefault="00C85E44" w:rsidP="0014341C">
            <w:pPr>
              <w:jc w:val="right"/>
              <w:rPr>
                <w:rFonts w:ascii="Arial" w:hAnsi="Arial" w:cs="Arial"/>
                <w:color w:val="000000"/>
                <w:sz w:val="16"/>
                <w:szCs w:val="16"/>
                <w:lang w:val="es-MX"/>
              </w:rPr>
            </w:pPr>
            <w:r>
              <w:rPr>
                <w:rFonts w:ascii="Arial" w:hAnsi="Arial" w:cs="Arial"/>
                <w:color w:val="000000"/>
                <w:sz w:val="16"/>
                <w:szCs w:val="16"/>
                <w:lang w:val="es-MX"/>
              </w:rPr>
              <w:t>100%</w:t>
            </w:r>
          </w:p>
        </w:tc>
        <w:tc>
          <w:tcPr>
            <w:tcW w:w="1276" w:type="dxa"/>
          </w:tcPr>
          <w:p w:rsidR="00C32225" w:rsidRPr="00082BE8" w:rsidRDefault="00C85E44" w:rsidP="0014341C">
            <w:pPr>
              <w:jc w:val="right"/>
              <w:rPr>
                <w:rFonts w:ascii="Arial" w:hAnsi="Arial" w:cs="Arial"/>
                <w:color w:val="000000"/>
                <w:sz w:val="16"/>
                <w:szCs w:val="16"/>
                <w:lang w:val="es-MX"/>
              </w:rPr>
            </w:pPr>
            <w:r>
              <w:rPr>
                <w:rFonts w:ascii="Arial" w:hAnsi="Arial" w:cs="Arial"/>
                <w:color w:val="000000"/>
                <w:sz w:val="16"/>
                <w:szCs w:val="16"/>
                <w:lang w:val="es-MX"/>
              </w:rPr>
              <w:t>100%</w:t>
            </w:r>
          </w:p>
        </w:tc>
        <w:tc>
          <w:tcPr>
            <w:tcW w:w="1216" w:type="dxa"/>
          </w:tcPr>
          <w:p w:rsidR="00C32225" w:rsidRPr="00082BE8" w:rsidRDefault="00C85E44" w:rsidP="0014341C">
            <w:pPr>
              <w:jc w:val="right"/>
              <w:rPr>
                <w:rFonts w:ascii="Arial" w:hAnsi="Arial" w:cs="Arial"/>
                <w:color w:val="000000"/>
                <w:sz w:val="16"/>
                <w:szCs w:val="16"/>
                <w:lang w:val="es-MX"/>
              </w:rPr>
            </w:pPr>
            <w:r>
              <w:rPr>
                <w:rFonts w:ascii="Arial" w:hAnsi="Arial" w:cs="Arial"/>
                <w:color w:val="000000"/>
                <w:sz w:val="16"/>
                <w:szCs w:val="16"/>
                <w:lang w:val="es-MX"/>
              </w:rPr>
              <w:t>100%</w:t>
            </w:r>
          </w:p>
        </w:tc>
      </w:tr>
    </w:tbl>
    <w:p w:rsidR="00C32225" w:rsidRDefault="00C32225" w:rsidP="00C32225">
      <w:pPr>
        <w:rPr>
          <w:rFonts w:ascii="Arial" w:hAnsi="Arial" w:cs="Arial"/>
          <w:noProof/>
          <w:lang w:eastAsia="es-CO"/>
        </w:rPr>
      </w:pPr>
    </w:p>
    <w:p w:rsidR="009642B2" w:rsidRDefault="009642B2" w:rsidP="00C32225">
      <w:pPr>
        <w:rPr>
          <w:rFonts w:ascii="Arial" w:hAnsi="Arial" w:cs="Arial"/>
          <w:noProof/>
          <w:lang w:eastAsia="es-CO"/>
        </w:rPr>
      </w:pPr>
    </w:p>
    <w:p w:rsidR="00360BC1" w:rsidRPr="00360BC1" w:rsidRDefault="00360BC1" w:rsidP="00C718F4">
      <w:pPr>
        <w:numPr>
          <w:ilvl w:val="1"/>
          <w:numId w:val="38"/>
        </w:numPr>
        <w:spacing w:after="200" w:line="276" w:lineRule="auto"/>
        <w:rPr>
          <w:rFonts w:ascii="Arial" w:hAnsi="Arial" w:cs="Arial"/>
        </w:rPr>
      </w:pPr>
      <w:r>
        <w:rPr>
          <w:rFonts w:ascii="Arial" w:hAnsi="Arial" w:cs="Arial"/>
          <w:noProof/>
          <w:lang w:val="es-CO" w:eastAsia="es-CO"/>
        </w:rPr>
        <mc:AlternateContent>
          <mc:Choice Requires="wps">
            <w:drawing>
              <wp:anchor distT="0" distB="0" distL="114300" distR="114300" simplePos="0" relativeHeight="251655680" behindDoc="0" locked="0" layoutInCell="1" allowOverlap="1" wp14:anchorId="30839D01" wp14:editId="442AEA08">
                <wp:simplePos x="0" y="0"/>
                <wp:positionH relativeFrom="column">
                  <wp:posOffset>4208145</wp:posOffset>
                </wp:positionH>
                <wp:positionV relativeFrom="paragraph">
                  <wp:posOffset>301625</wp:posOffset>
                </wp:positionV>
                <wp:extent cx="1742440" cy="2354580"/>
                <wp:effectExtent l="0" t="0" r="0" b="762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235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BC1" w:rsidRPr="009E7328" w:rsidRDefault="00360BC1" w:rsidP="00360BC1">
                            <w:pPr>
                              <w:jc w:val="both"/>
                              <w:rPr>
                                <w:rFonts w:ascii="Arial" w:hAnsi="Arial" w:cs="Arial"/>
                              </w:rPr>
                            </w:pPr>
                            <w:r w:rsidRPr="009E7328">
                              <w:rPr>
                                <w:rFonts w:ascii="Arial" w:hAnsi="Arial" w:cs="Arial"/>
                              </w:rPr>
                              <w:t>Los activos del Departamento al</w:t>
                            </w:r>
                            <w:r>
                              <w:rPr>
                                <w:rFonts w:ascii="Arial" w:hAnsi="Arial" w:cs="Arial"/>
                              </w:rPr>
                              <w:t xml:space="preserve"> cierre de este primer trimestre de 2013, </w:t>
                            </w:r>
                            <w:r w:rsidRPr="009E7328">
                              <w:rPr>
                                <w:rFonts w:ascii="Arial" w:hAnsi="Arial" w:cs="Arial"/>
                              </w:rPr>
                              <w:t>alc</w:t>
                            </w:r>
                            <w:r>
                              <w:rPr>
                                <w:rFonts w:ascii="Arial" w:hAnsi="Arial" w:cs="Arial"/>
                              </w:rPr>
                              <w:t>anzaron un total de $514.161, cifra que experimentó un aumento  con respecto a marzo de 2012 en un 38,9%</w:t>
                            </w:r>
                          </w:p>
                          <w:p w:rsidR="00062B48" w:rsidRPr="00A05FDC" w:rsidRDefault="00062B48" w:rsidP="00C32225">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31.35pt;margin-top:23.75pt;width:137.2pt;height:18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jtgIAALw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" filled="f" stroked="f">
                <v:textbox>
                  <w:txbxContent>
                    <w:p w:rsidR="00360BC1" w:rsidRPr="009E7328" w:rsidRDefault="00360BC1" w:rsidP="00360BC1">
                      <w:pPr>
                        <w:jc w:val="both"/>
                        <w:rPr>
                          <w:rFonts w:ascii="Arial" w:hAnsi="Arial" w:cs="Arial"/>
                        </w:rPr>
                      </w:pPr>
                      <w:r w:rsidRPr="009E7328">
                        <w:rPr>
                          <w:rFonts w:ascii="Arial" w:hAnsi="Arial" w:cs="Arial"/>
                        </w:rPr>
                        <w:t>Los activos del Departamento al</w:t>
                      </w:r>
                      <w:r>
                        <w:rPr>
                          <w:rFonts w:ascii="Arial" w:hAnsi="Arial" w:cs="Arial"/>
                        </w:rPr>
                        <w:t xml:space="preserve"> cierre de este primer trimestre de 2013, </w:t>
                      </w:r>
                      <w:r w:rsidRPr="009E7328">
                        <w:rPr>
                          <w:rFonts w:ascii="Arial" w:hAnsi="Arial" w:cs="Arial"/>
                        </w:rPr>
                        <w:t>alc</w:t>
                      </w:r>
                      <w:r>
                        <w:rPr>
                          <w:rFonts w:ascii="Arial" w:hAnsi="Arial" w:cs="Arial"/>
                        </w:rPr>
                        <w:t>anzaron un total de $514.161, cifra que experimentó un aumento  con respecto a marzo de 2012 en un 38,9%</w:t>
                      </w:r>
                    </w:p>
                    <w:p w:rsidR="00062B48" w:rsidRPr="00A05FDC" w:rsidRDefault="00062B48" w:rsidP="00C32225">
                      <w:pPr>
                        <w:jc w:val="both"/>
                        <w:rPr>
                          <w:rFonts w:ascii="Arial" w:hAnsi="Arial" w:cs="Arial"/>
                        </w:rPr>
                      </w:pPr>
                    </w:p>
                  </w:txbxContent>
                </v:textbox>
              </v:shape>
            </w:pict>
          </mc:Fallback>
        </mc:AlternateContent>
      </w:r>
      <w:r w:rsidR="009642B2" w:rsidRPr="009E7328">
        <w:rPr>
          <w:rFonts w:ascii="Arial" w:hAnsi="Arial" w:cs="Arial"/>
        </w:rPr>
        <w:t>ACTIVOS</w:t>
      </w:r>
    </w:p>
    <w:p w:rsidR="00360BC1" w:rsidRDefault="00360BC1" w:rsidP="00C718F4">
      <w:r>
        <w:rPr>
          <w:noProof/>
          <w:lang w:val="es-CO" w:eastAsia="es-CO"/>
        </w:rPr>
        <w:drawing>
          <wp:inline distT="0" distB="0" distL="0" distR="0" wp14:anchorId="6AEEC14E" wp14:editId="518BAE29">
            <wp:extent cx="4168140" cy="2087880"/>
            <wp:effectExtent l="0" t="0" r="22860" b="2667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2225" w:rsidRDefault="00C718F4" w:rsidP="00C32225">
      <w:pPr>
        <w:pStyle w:val="Epgrafe"/>
        <w:rPr>
          <w:rFonts w:ascii="Arial" w:hAnsi="Arial" w:cs="Arial"/>
          <w:sz w:val="12"/>
          <w:szCs w:val="12"/>
        </w:rPr>
      </w:pPr>
      <w:r>
        <w:rPr>
          <w:rFonts w:ascii="Arial" w:hAnsi="Arial" w:cs="Arial"/>
          <w:sz w:val="12"/>
          <w:szCs w:val="12"/>
        </w:rPr>
        <w:t xml:space="preserve">                     Fuente: Oficina de Contabilidad (</w:t>
      </w:r>
      <w:r w:rsidR="00C32225">
        <w:rPr>
          <w:rFonts w:ascii="Arial" w:hAnsi="Arial" w:cs="Arial"/>
          <w:sz w:val="12"/>
          <w:szCs w:val="12"/>
        </w:rPr>
        <w:t>en miles de peso</w:t>
      </w:r>
      <w:r>
        <w:rPr>
          <w:rFonts w:ascii="Arial" w:hAnsi="Arial" w:cs="Arial"/>
          <w:sz w:val="12"/>
          <w:szCs w:val="12"/>
        </w:rPr>
        <w:t>s)</w:t>
      </w:r>
    </w:p>
    <w:p w:rsidR="00C718F4" w:rsidRPr="00C718F4" w:rsidRDefault="00C718F4" w:rsidP="00C718F4">
      <w:pPr>
        <w:rPr>
          <w:lang w:val="es-CO" w:eastAsia="en-US"/>
        </w:rPr>
      </w:pPr>
    </w:p>
    <w:p w:rsidR="00C32225" w:rsidRDefault="00C32225" w:rsidP="00C32225">
      <w:pPr>
        <w:numPr>
          <w:ilvl w:val="2"/>
          <w:numId w:val="38"/>
        </w:numPr>
        <w:spacing w:after="200" w:line="276" w:lineRule="auto"/>
        <w:jc w:val="both"/>
        <w:rPr>
          <w:rFonts w:ascii="Arial" w:hAnsi="Arial" w:cs="Arial"/>
        </w:rPr>
      </w:pPr>
      <w:r w:rsidRPr="009E7328">
        <w:rPr>
          <w:rFonts w:ascii="Arial" w:hAnsi="Arial" w:cs="Arial"/>
        </w:rPr>
        <w:t xml:space="preserve">ACTIVOS CORRIENTES. </w:t>
      </w:r>
    </w:p>
    <w:p w:rsidR="00C32225" w:rsidRPr="009E7328" w:rsidRDefault="00C32225" w:rsidP="00C32225">
      <w:pPr>
        <w:jc w:val="both"/>
        <w:rPr>
          <w:rFonts w:ascii="Arial" w:hAnsi="Arial" w:cs="Arial"/>
        </w:rPr>
      </w:pPr>
      <w:r w:rsidRPr="009E7328">
        <w:rPr>
          <w:rFonts w:ascii="Arial" w:hAnsi="Arial" w:cs="Arial"/>
        </w:rPr>
        <w:t xml:space="preserve">Representa el grupo de cuentas que revela la existencia </w:t>
      </w:r>
      <w:r>
        <w:rPr>
          <w:rFonts w:ascii="Arial" w:hAnsi="Arial" w:cs="Arial"/>
        </w:rPr>
        <w:t xml:space="preserve">de los recursos </w:t>
      </w:r>
      <w:r w:rsidRPr="009E7328">
        <w:rPr>
          <w:rFonts w:ascii="Arial" w:hAnsi="Arial" w:cs="Arial"/>
        </w:rPr>
        <w:t xml:space="preserve">de </w:t>
      </w:r>
      <w:r>
        <w:rPr>
          <w:rFonts w:ascii="Arial" w:hAnsi="Arial" w:cs="Arial"/>
        </w:rPr>
        <w:t>liquidez inmediata total o parcial, con que cuenta el Departamento</w:t>
      </w:r>
      <w:r w:rsidRPr="009E7328">
        <w:rPr>
          <w:rFonts w:ascii="Arial" w:hAnsi="Arial" w:cs="Arial"/>
        </w:rPr>
        <w:t>.</w:t>
      </w:r>
    </w:p>
    <w:p w:rsidR="00360BC1" w:rsidRDefault="00C32225" w:rsidP="00C32225">
      <w:pPr>
        <w:jc w:val="both"/>
        <w:rPr>
          <w:rFonts w:ascii="Arial" w:hAnsi="Arial" w:cs="Arial"/>
        </w:rPr>
      </w:pPr>
      <w:r>
        <w:rPr>
          <w:rFonts w:ascii="Arial" w:hAnsi="Arial" w:cs="Arial"/>
        </w:rPr>
        <w:t>Los Activos C</w:t>
      </w:r>
      <w:r w:rsidRPr="009E7328">
        <w:rPr>
          <w:rFonts w:ascii="Arial" w:hAnsi="Arial" w:cs="Arial"/>
        </w:rPr>
        <w:t>orrient</w:t>
      </w:r>
      <w:r w:rsidR="00360BC1">
        <w:rPr>
          <w:rFonts w:ascii="Arial" w:hAnsi="Arial" w:cs="Arial"/>
        </w:rPr>
        <w:t>es suman en total $352.861, los cuales representan el 68,6</w:t>
      </w:r>
      <w:r>
        <w:rPr>
          <w:rFonts w:ascii="Arial" w:hAnsi="Arial" w:cs="Arial"/>
        </w:rPr>
        <w:t>% del total de activos</w:t>
      </w:r>
      <w:r w:rsidR="00360BC1">
        <w:rPr>
          <w:rFonts w:ascii="Arial" w:hAnsi="Arial" w:cs="Arial"/>
        </w:rPr>
        <w:t>, con la siguiente composición:</w:t>
      </w:r>
    </w:p>
    <w:p w:rsidR="00C32225" w:rsidRDefault="00C32225" w:rsidP="00C32225">
      <w:pPr>
        <w:jc w:val="both"/>
        <w:rPr>
          <w:rFonts w:ascii="Arial" w:hAnsi="Arial" w:cs="Arial"/>
        </w:rPr>
      </w:pPr>
      <w:r w:rsidRPr="009E7328">
        <w:rPr>
          <w:rFonts w:ascii="Arial" w:hAnsi="Arial" w:cs="Arial"/>
        </w:rPr>
        <w:t xml:space="preserve"> </w:t>
      </w:r>
    </w:p>
    <w:p w:rsidR="00C32225" w:rsidRDefault="00C32225" w:rsidP="00C32225">
      <w:pPr>
        <w:jc w:val="both"/>
        <w:rPr>
          <w:rFonts w:ascii="Arial" w:hAnsi="Arial" w:cs="Arial"/>
        </w:rPr>
      </w:pPr>
    </w:p>
    <w:tbl>
      <w:tblPr>
        <w:tblStyle w:val="Tablaconlista2"/>
        <w:tblW w:w="0" w:type="auto"/>
        <w:tblLook w:val="01E0" w:firstRow="1" w:lastRow="1" w:firstColumn="1" w:lastColumn="1" w:noHBand="0" w:noVBand="0"/>
      </w:tblPr>
      <w:tblGrid>
        <w:gridCol w:w="2219"/>
        <w:gridCol w:w="1560"/>
        <w:gridCol w:w="1559"/>
        <w:gridCol w:w="1364"/>
        <w:gridCol w:w="1276"/>
        <w:gridCol w:w="1041"/>
      </w:tblGrid>
      <w:tr w:rsidR="00E46354" w:rsidRPr="000860D9" w:rsidTr="001F334E">
        <w:trPr>
          <w:cnfStyle w:val="100000000000" w:firstRow="1" w:lastRow="0" w:firstColumn="0" w:lastColumn="0" w:oddVBand="0" w:evenVBand="0" w:oddHBand="0" w:evenHBand="0" w:firstRowFirstColumn="0" w:firstRowLastColumn="0" w:lastRowFirstColumn="0" w:lastRowLastColumn="0"/>
        </w:trPr>
        <w:tc>
          <w:tcPr>
            <w:tcW w:w="2219" w:type="dxa"/>
          </w:tcPr>
          <w:p w:rsidR="00360BC1" w:rsidRPr="000860D9" w:rsidRDefault="00360BC1" w:rsidP="0014341C">
            <w:pPr>
              <w:jc w:val="center"/>
              <w:rPr>
                <w:rFonts w:ascii="Arial" w:hAnsi="Arial" w:cs="Arial"/>
                <w:b w:val="0"/>
                <w:bCs w:val="0"/>
                <w:sz w:val="14"/>
                <w:szCs w:val="14"/>
              </w:rPr>
            </w:pPr>
            <w:r w:rsidRPr="000860D9">
              <w:rPr>
                <w:rFonts w:ascii="Arial" w:hAnsi="Arial" w:cs="Arial"/>
                <w:sz w:val="14"/>
                <w:szCs w:val="14"/>
              </w:rPr>
              <w:t>GRUPOS</w:t>
            </w:r>
          </w:p>
        </w:tc>
        <w:tc>
          <w:tcPr>
            <w:tcW w:w="1560" w:type="dxa"/>
          </w:tcPr>
          <w:p w:rsidR="00360BC1" w:rsidRPr="000860D9" w:rsidRDefault="00360BC1" w:rsidP="0014341C">
            <w:pPr>
              <w:jc w:val="center"/>
              <w:rPr>
                <w:rFonts w:ascii="Arial" w:hAnsi="Arial" w:cs="Arial"/>
                <w:b w:val="0"/>
                <w:bCs w:val="0"/>
                <w:sz w:val="14"/>
                <w:szCs w:val="14"/>
              </w:rPr>
            </w:pPr>
            <w:r w:rsidRPr="000860D9">
              <w:rPr>
                <w:rFonts w:ascii="Arial" w:hAnsi="Arial" w:cs="Arial"/>
                <w:sz w:val="14"/>
                <w:szCs w:val="14"/>
              </w:rPr>
              <w:t>MARZO  2013</w:t>
            </w:r>
          </w:p>
        </w:tc>
        <w:tc>
          <w:tcPr>
            <w:tcW w:w="1559" w:type="dxa"/>
          </w:tcPr>
          <w:p w:rsidR="00360BC1" w:rsidRPr="000860D9" w:rsidRDefault="00360BC1" w:rsidP="0014341C">
            <w:pPr>
              <w:jc w:val="center"/>
              <w:rPr>
                <w:rFonts w:ascii="Arial" w:hAnsi="Arial" w:cs="Arial"/>
                <w:b w:val="0"/>
                <w:bCs w:val="0"/>
                <w:sz w:val="14"/>
                <w:szCs w:val="14"/>
              </w:rPr>
            </w:pPr>
            <w:r w:rsidRPr="000860D9">
              <w:rPr>
                <w:rFonts w:ascii="Arial" w:hAnsi="Arial" w:cs="Arial"/>
                <w:sz w:val="14"/>
                <w:szCs w:val="14"/>
              </w:rPr>
              <w:t>MARZO  2012</w:t>
            </w:r>
          </w:p>
        </w:tc>
        <w:tc>
          <w:tcPr>
            <w:tcW w:w="1364" w:type="dxa"/>
          </w:tcPr>
          <w:p w:rsidR="00360BC1" w:rsidRPr="000860D9" w:rsidRDefault="00360BC1" w:rsidP="00360BC1">
            <w:pPr>
              <w:jc w:val="center"/>
              <w:rPr>
                <w:rFonts w:ascii="Arial" w:hAnsi="Arial" w:cs="Arial"/>
                <w:b w:val="0"/>
                <w:bCs w:val="0"/>
                <w:sz w:val="14"/>
                <w:szCs w:val="14"/>
              </w:rPr>
            </w:pPr>
            <w:r w:rsidRPr="000860D9">
              <w:rPr>
                <w:rFonts w:ascii="Arial" w:hAnsi="Arial" w:cs="Arial"/>
                <w:sz w:val="14"/>
                <w:szCs w:val="14"/>
              </w:rPr>
              <w:t xml:space="preserve">Aumento o </w:t>
            </w:r>
            <w:r w:rsidRPr="000860D9">
              <w:rPr>
                <w:rFonts w:ascii="Arial" w:hAnsi="Arial" w:cs="Arial"/>
                <w:sz w:val="14"/>
                <w:szCs w:val="14"/>
              </w:rPr>
              <w:lastRenderedPageBreak/>
              <w:t>disminución</w:t>
            </w:r>
          </w:p>
        </w:tc>
        <w:tc>
          <w:tcPr>
            <w:tcW w:w="1276" w:type="dxa"/>
          </w:tcPr>
          <w:p w:rsidR="00360BC1" w:rsidRPr="000860D9" w:rsidRDefault="00360BC1" w:rsidP="0014341C">
            <w:pPr>
              <w:jc w:val="center"/>
              <w:rPr>
                <w:rFonts w:ascii="Arial" w:hAnsi="Arial" w:cs="Arial"/>
                <w:b w:val="0"/>
                <w:bCs w:val="0"/>
                <w:sz w:val="14"/>
                <w:szCs w:val="14"/>
              </w:rPr>
            </w:pPr>
            <w:r w:rsidRPr="000860D9">
              <w:rPr>
                <w:rFonts w:ascii="Arial" w:hAnsi="Arial" w:cs="Arial"/>
                <w:sz w:val="14"/>
                <w:szCs w:val="14"/>
              </w:rPr>
              <w:lastRenderedPageBreak/>
              <w:t>MARZO  2009</w:t>
            </w:r>
          </w:p>
        </w:tc>
        <w:tc>
          <w:tcPr>
            <w:tcW w:w="992" w:type="dxa"/>
          </w:tcPr>
          <w:p w:rsidR="00360BC1" w:rsidRPr="000860D9" w:rsidRDefault="000860D9" w:rsidP="0014341C">
            <w:pPr>
              <w:jc w:val="center"/>
              <w:rPr>
                <w:rFonts w:ascii="Arial" w:hAnsi="Arial" w:cs="Arial"/>
                <w:b w:val="0"/>
                <w:bCs w:val="0"/>
                <w:sz w:val="14"/>
                <w:szCs w:val="14"/>
              </w:rPr>
            </w:pPr>
            <w:r w:rsidRPr="000860D9">
              <w:rPr>
                <w:rFonts w:ascii="Arial" w:hAnsi="Arial" w:cs="Arial"/>
                <w:sz w:val="14"/>
                <w:szCs w:val="14"/>
              </w:rPr>
              <w:t xml:space="preserve">Aumento o </w:t>
            </w:r>
            <w:r w:rsidRPr="000860D9">
              <w:rPr>
                <w:rFonts w:ascii="Arial" w:hAnsi="Arial" w:cs="Arial"/>
                <w:sz w:val="14"/>
                <w:szCs w:val="14"/>
              </w:rPr>
              <w:lastRenderedPageBreak/>
              <w:t>disminución</w:t>
            </w:r>
          </w:p>
        </w:tc>
      </w:tr>
      <w:tr w:rsidR="00E46354" w:rsidRPr="000860D9" w:rsidTr="001F334E">
        <w:trPr>
          <w:cnfStyle w:val="000000100000" w:firstRow="0" w:lastRow="0" w:firstColumn="0" w:lastColumn="0" w:oddVBand="0" w:evenVBand="0" w:oddHBand="1" w:evenHBand="0" w:firstRowFirstColumn="0" w:firstRowLastColumn="0" w:lastRowFirstColumn="0" w:lastRowLastColumn="0"/>
        </w:trPr>
        <w:tc>
          <w:tcPr>
            <w:tcW w:w="2219" w:type="dxa"/>
          </w:tcPr>
          <w:p w:rsidR="00360BC1" w:rsidRPr="000860D9" w:rsidRDefault="00360BC1" w:rsidP="0014341C">
            <w:pPr>
              <w:rPr>
                <w:rFonts w:ascii="Arial" w:hAnsi="Arial" w:cs="Arial"/>
                <w:b/>
                <w:bCs/>
                <w:sz w:val="14"/>
                <w:szCs w:val="14"/>
              </w:rPr>
            </w:pPr>
            <w:r w:rsidRPr="000860D9">
              <w:rPr>
                <w:rFonts w:ascii="Arial" w:hAnsi="Arial" w:cs="Arial"/>
                <w:b/>
                <w:bCs/>
                <w:sz w:val="14"/>
                <w:szCs w:val="14"/>
              </w:rPr>
              <w:lastRenderedPageBreak/>
              <w:t>Efectivo</w:t>
            </w:r>
          </w:p>
        </w:tc>
        <w:tc>
          <w:tcPr>
            <w:tcW w:w="1560" w:type="dxa"/>
          </w:tcPr>
          <w:p w:rsidR="00360BC1" w:rsidRPr="000860D9" w:rsidRDefault="00360BC1" w:rsidP="0014341C">
            <w:pPr>
              <w:jc w:val="right"/>
              <w:rPr>
                <w:rFonts w:ascii="Arial" w:hAnsi="Arial" w:cs="Arial"/>
                <w:b/>
                <w:sz w:val="14"/>
                <w:szCs w:val="14"/>
              </w:rPr>
            </w:pPr>
            <w:r w:rsidRPr="000860D9">
              <w:rPr>
                <w:rFonts w:ascii="Arial" w:hAnsi="Arial" w:cs="Arial"/>
                <w:b/>
                <w:sz w:val="14"/>
                <w:szCs w:val="14"/>
              </w:rPr>
              <w:t>58.758</w:t>
            </w:r>
          </w:p>
        </w:tc>
        <w:tc>
          <w:tcPr>
            <w:tcW w:w="1559" w:type="dxa"/>
          </w:tcPr>
          <w:p w:rsidR="00360BC1" w:rsidRPr="000860D9" w:rsidRDefault="000860D9" w:rsidP="000860D9">
            <w:pPr>
              <w:jc w:val="right"/>
              <w:rPr>
                <w:rFonts w:ascii="Arial" w:hAnsi="Arial" w:cs="Arial"/>
                <w:b/>
                <w:sz w:val="14"/>
                <w:szCs w:val="14"/>
              </w:rPr>
            </w:pPr>
            <w:r w:rsidRPr="000860D9">
              <w:rPr>
                <w:rFonts w:ascii="Arial" w:hAnsi="Arial" w:cs="Arial"/>
                <w:b/>
                <w:sz w:val="14"/>
                <w:szCs w:val="14"/>
              </w:rPr>
              <w:t>32.029</w:t>
            </w:r>
          </w:p>
        </w:tc>
        <w:tc>
          <w:tcPr>
            <w:tcW w:w="1364" w:type="dxa"/>
          </w:tcPr>
          <w:p w:rsidR="00360BC1" w:rsidRPr="000860D9" w:rsidRDefault="000860D9" w:rsidP="00676101">
            <w:pPr>
              <w:jc w:val="center"/>
              <w:rPr>
                <w:rFonts w:ascii="Arial" w:hAnsi="Arial" w:cs="Arial"/>
                <w:b/>
                <w:bCs/>
                <w:sz w:val="14"/>
                <w:szCs w:val="14"/>
              </w:rPr>
            </w:pPr>
            <w:r w:rsidRPr="000860D9">
              <w:rPr>
                <w:rFonts w:ascii="Arial" w:hAnsi="Arial" w:cs="Arial"/>
                <w:b/>
                <w:bCs/>
                <w:sz w:val="14"/>
                <w:szCs w:val="14"/>
              </w:rPr>
              <w:t>83.5</w:t>
            </w:r>
            <w:r>
              <w:rPr>
                <w:rFonts w:ascii="Arial" w:hAnsi="Arial" w:cs="Arial"/>
                <w:b/>
                <w:bCs/>
                <w:sz w:val="14"/>
                <w:szCs w:val="14"/>
              </w:rPr>
              <w:t>%</w:t>
            </w:r>
          </w:p>
        </w:tc>
        <w:tc>
          <w:tcPr>
            <w:tcW w:w="1276" w:type="dxa"/>
          </w:tcPr>
          <w:p w:rsidR="00360BC1" w:rsidRPr="000860D9" w:rsidRDefault="000860D9" w:rsidP="0014341C">
            <w:pPr>
              <w:jc w:val="right"/>
              <w:rPr>
                <w:rFonts w:ascii="Arial" w:hAnsi="Arial" w:cs="Arial"/>
                <w:b/>
                <w:bCs/>
                <w:sz w:val="14"/>
                <w:szCs w:val="14"/>
              </w:rPr>
            </w:pPr>
            <w:r w:rsidRPr="000860D9">
              <w:rPr>
                <w:rFonts w:ascii="Arial" w:hAnsi="Arial" w:cs="Arial"/>
                <w:b/>
                <w:bCs/>
                <w:sz w:val="14"/>
                <w:szCs w:val="14"/>
              </w:rPr>
              <w:t>39.062</w:t>
            </w:r>
          </w:p>
        </w:tc>
        <w:tc>
          <w:tcPr>
            <w:tcW w:w="992" w:type="dxa"/>
          </w:tcPr>
          <w:p w:rsidR="00360BC1" w:rsidRPr="000860D9" w:rsidRDefault="000860D9" w:rsidP="00676101">
            <w:pPr>
              <w:jc w:val="center"/>
              <w:rPr>
                <w:rFonts w:ascii="Arial" w:hAnsi="Arial" w:cs="Arial"/>
                <w:b/>
                <w:bCs/>
                <w:sz w:val="14"/>
                <w:szCs w:val="14"/>
              </w:rPr>
            </w:pPr>
            <w:r w:rsidRPr="000860D9">
              <w:rPr>
                <w:rFonts w:ascii="Arial" w:hAnsi="Arial" w:cs="Arial"/>
                <w:b/>
                <w:bCs/>
                <w:sz w:val="14"/>
                <w:szCs w:val="14"/>
              </w:rPr>
              <w:t>50.4</w:t>
            </w:r>
            <w:r w:rsidR="00676101">
              <w:rPr>
                <w:rFonts w:ascii="Arial" w:hAnsi="Arial" w:cs="Arial"/>
                <w:b/>
                <w:bCs/>
                <w:sz w:val="14"/>
                <w:szCs w:val="14"/>
              </w:rPr>
              <w:t>%</w:t>
            </w:r>
          </w:p>
        </w:tc>
      </w:tr>
      <w:tr w:rsidR="00E46354" w:rsidRPr="000860D9" w:rsidTr="001F334E">
        <w:trPr>
          <w:cnfStyle w:val="000000100000" w:firstRow="0" w:lastRow="0" w:firstColumn="0" w:lastColumn="0" w:oddVBand="0" w:evenVBand="0" w:oddHBand="1" w:evenHBand="0" w:firstRowFirstColumn="0" w:firstRowLastColumn="0" w:lastRowFirstColumn="0" w:lastRowLastColumn="0"/>
        </w:trPr>
        <w:tc>
          <w:tcPr>
            <w:tcW w:w="2219" w:type="dxa"/>
          </w:tcPr>
          <w:p w:rsidR="00360BC1" w:rsidRPr="000860D9" w:rsidRDefault="00360BC1" w:rsidP="0014341C">
            <w:pPr>
              <w:rPr>
                <w:rFonts w:ascii="Arial" w:hAnsi="Arial" w:cs="Arial"/>
                <w:b/>
                <w:bCs/>
                <w:sz w:val="14"/>
                <w:szCs w:val="14"/>
              </w:rPr>
            </w:pPr>
            <w:r w:rsidRPr="000860D9">
              <w:rPr>
                <w:rFonts w:ascii="Arial" w:hAnsi="Arial" w:cs="Arial"/>
                <w:b/>
                <w:bCs/>
                <w:sz w:val="14"/>
                <w:szCs w:val="14"/>
              </w:rPr>
              <w:t>Rentas por cobrar</w:t>
            </w:r>
          </w:p>
        </w:tc>
        <w:tc>
          <w:tcPr>
            <w:tcW w:w="1560" w:type="dxa"/>
          </w:tcPr>
          <w:p w:rsidR="00360BC1" w:rsidRPr="000860D9" w:rsidRDefault="00360BC1" w:rsidP="0014341C">
            <w:pPr>
              <w:jc w:val="right"/>
              <w:rPr>
                <w:rFonts w:ascii="Arial" w:hAnsi="Arial" w:cs="Arial"/>
                <w:b/>
                <w:sz w:val="14"/>
                <w:szCs w:val="14"/>
              </w:rPr>
            </w:pPr>
            <w:r w:rsidRPr="000860D9">
              <w:rPr>
                <w:rFonts w:ascii="Arial" w:hAnsi="Arial" w:cs="Arial"/>
                <w:b/>
                <w:sz w:val="14"/>
                <w:szCs w:val="14"/>
              </w:rPr>
              <w:t>12.724</w:t>
            </w:r>
          </w:p>
        </w:tc>
        <w:tc>
          <w:tcPr>
            <w:tcW w:w="1559" w:type="dxa"/>
          </w:tcPr>
          <w:p w:rsidR="00360BC1" w:rsidRPr="000860D9" w:rsidRDefault="00360BC1" w:rsidP="0014341C">
            <w:pPr>
              <w:jc w:val="right"/>
              <w:rPr>
                <w:rFonts w:ascii="Arial" w:hAnsi="Arial" w:cs="Arial"/>
                <w:b/>
                <w:sz w:val="14"/>
                <w:szCs w:val="14"/>
              </w:rPr>
            </w:pPr>
            <w:r w:rsidRPr="000860D9">
              <w:rPr>
                <w:rFonts w:ascii="Arial" w:hAnsi="Arial" w:cs="Arial"/>
                <w:b/>
                <w:sz w:val="14"/>
                <w:szCs w:val="14"/>
              </w:rPr>
              <w:t>22.219</w:t>
            </w:r>
          </w:p>
        </w:tc>
        <w:tc>
          <w:tcPr>
            <w:tcW w:w="1364" w:type="dxa"/>
          </w:tcPr>
          <w:p w:rsidR="00360BC1" w:rsidRPr="000860D9" w:rsidRDefault="000860D9" w:rsidP="00676101">
            <w:pPr>
              <w:jc w:val="center"/>
              <w:rPr>
                <w:rFonts w:ascii="Arial" w:hAnsi="Arial" w:cs="Arial"/>
                <w:b/>
                <w:bCs/>
                <w:sz w:val="14"/>
                <w:szCs w:val="14"/>
              </w:rPr>
            </w:pPr>
            <w:r w:rsidRPr="000860D9">
              <w:rPr>
                <w:rFonts w:ascii="Arial" w:hAnsi="Arial" w:cs="Arial"/>
                <w:b/>
                <w:bCs/>
                <w:sz w:val="14"/>
                <w:szCs w:val="14"/>
              </w:rPr>
              <w:t>(42.7</w:t>
            </w:r>
            <w:r>
              <w:rPr>
                <w:rFonts w:ascii="Arial" w:hAnsi="Arial" w:cs="Arial"/>
                <w:b/>
                <w:bCs/>
                <w:sz w:val="14"/>
                <w:szCs w:val="14"/>
              </w:rPr>
              <w:t>%</w:t>
            </w:r>
            <w:r w:rsidRPr="000860D9">
              <w:rPr>
                <w:rFonts w:ascii="Arial" w:hAnsi="Arial" w:cs="Arial"/>
                <w:b/>
                <w:bCs/>
                <w:sz w:val="14"/>
                <w:szCs w:val="14"/>
              </w:rPr>
              <w:t>)</w:t>
            </w:r>
          </w:p>
        </w:tc>
        <w:tc>
          <w:tcPr>
            <w:tcW w:w="1276" w:type="dxa"/>
          </w:tcPr>
          <w:p w:rsidR="00360BC1" w:rsidRPr="000860D9" w:rsidRDefault="000860D9" w:rsidP="0014341C">
            <w:pPr>
              <w:jc w:val="right"/>
              <w:rPr>
                <w:rFonts w:ascii="Arial" w:hAnsi="Arial" w:cs="Arial"/>
                <w:b/>
                <w:bCs/>
                <w:sz w:val="14"/>
                <w:szCs w:val="14"/>
              </w:rPr>
            </w:pPr>
            <w:r w:rsidRPr="000860D9">
              <w:rPr>
                <w:rFonts w:ascii="Arial" w:hAnsi="Arial" w:cs="Arial"/>
                <w:b/>
                <w:bCs/>
                <w:sz w:val="14"/>
                <w:szCs w:val="14"/>
              </w:rPr>
              <w:t>9.598</w:t>
            </w:r>
          </w:p>
        </w:tc>
        <w:tc>
          <w:tcPr>
            <w:tcW w:w="992" w:type="dxa"/>
          </w:tcPr>
          <w:p w:rsidR="00360BC1" w:rsidRPr="000860D9" w:rsidRDefault="000860D9" w:rsidP="00676101">
            <w:pPr>
              <w:jc w:val="center"/>
              <w:rPr>
                <w:rFonts w:ascii="Arial" w:hAnsi="Arial" w:cs="Arial"/>
                <w:b/>
                <w:bCs/>
                <w:sz w:val="14"/>
                <w:szCs w:val="14"/>
              </w:rPr>
            </w:pPr>
            <w:r w:rsidRPr="000860D9">
              <w:rPr>
                <w:rFonts w:ascii="Arial" w:hAnsi="Arial" w:cs="Arial"/>
                <w:b/>
                <w:bCs/>
                <w:sz w:val="14"/>
                <w:szCs w:val="14"/>
              </w:rPr>
              <w:t>32.6</w:t>
            </w:r>
            <w:r w:rsidR="00676101">
              <w:rPr>
                <w:rFonts w:ascii="Arial" w:hAnsi="Arial" w:cs="Arial"/>
                <w:b/>
                <w:bCs/>
                <w:sz w:val="14"/>
                <w:szCs w:val="14"/>
              </w:rPr>
              <w:t>%</w:t>
            </w:r>
          </w:p>
        </w:tc>
      </w:tr>
      <w:tr w:rsidR="00E46354" w:rsidRPr="000860D9" w:rsidTr="001F334E">
        <w:trPr>
          <w:cnfStyle w:val="000000010000" w:firstRow="0" w:lastRow="0" w:firstColumn="0" w:lastColumn="0" w:oddVBand="0" w:evenVBand="0" w:oddHBand="0" w:evenHBand="1" w:firstRowFirstColumn="0" w:firstRowLastColumn="0" w:lastRowFirstColumn="0" w:lastRowLastColumn="0"/>
        </w:trPr>
        <w:tc>
          <w:tcPr>
            <w:tcW w:w="2219" w:type="dxa"/>
          </w:tcPr>
          <w:p w:rsidR="00360BC1" w:rsidRPr="000860D9" w:rsidRDefault="00360BC1" w:rsidP="0014341C">
            <w:pPr>
              <w:rPr>
                <w:rFonts w:ascii="Arial" w:hAnsi="Arial" w:cs="Arial"/>
                <w:b/>
                <w:bCs/>
                <w:sz w:val="14"/>
                <w:szCs w:val="14"/>
              </w:rPr>
            </w:pPr>
            <w:r w:rsidRPr="000860D9">
              <w:rPr>
                <w:rFonts w:ascii="Arial" w:hAnsi="Arial" w:cs="Arial"/>
                <w:b/>
                <w:bCs/>
                <w:sz w:val="14"/>
                <w:szCs w:val="14"/>
              </w:rPr>
              <w:t>Deudores</w:t>
            </w:r>
          </w:p>
        </w:tc>
        <w:tc>
          <w:tcPr>
            <w:tcW w:w="1560" w:type="dxa"/>
          </w:tcPr>
          <w:p w:rsidR="00360BC1" w:rsidRPr="000860D9" w:rsidRDefault="000860D9" w:rsidP="0014341C">
            <w:pPr>
              <w:jc w:val="right"/>
              <w:rPr>
                <w:rFonts w:ascii="Arial" w:hAnsi="Arial" w:cs="Arial"/>
                <w:b/>
                <w:sz w:val="14"/>
                <w:szCs w:val="14"/>
              </w:rPr>
            </w:pPr>
            <w:r w:rsidRPr="000860D9">
              <w:rPr>
                <w:rFonts w:ascii="Arial" w:hAnsi="Arial" w:cs="Arial"/>
                <w:b/>
                <w:sz w:val="14"/>
                <w:szCs w:val="14"/>
              </w:rPr>
              <w:t>39.425</w:t>
            </w:r>
          </w:p>
        </w:tc>
        <w:tc>
          <w:tcPr>
            <w:tcW w:w="1559" w:type="dxa"/>
          </w:tcPr>
          <w:p w:rsidR="00360BC1" w:rsidRPr="000860D9" w:rsidRDefault="000860D9" w:rsidP="0014341C">
            <w:pPr>
              <w:jc w:val="right"/>
              <w:rPr>
                <w:rFonts w:ascii="Arial" w:hAnsi="Arial" w:cs="Arial"/>
                <w:b/>
                <w:sz w:val="14"/>
                <w:szCs w:val="14"/>
              </w:rPr>
            </w:pPr>
            <w:r w:rsidRPr="000860D9">
              <w:rPr>
                <w:rFonts w:ascii="Arial" w:hAnsi="Arial" w:cs="Arial"/>
                <w:b/>
                <w:sz w:val="14"/>
                <w:szCs w:val="14"/>
              </w:rPr>
              <w:t>19.402</w:t>
            </w:r>
          </w:p>
        </w:tc>
        <w:tc>
          <w:tcPr>
            <w:tcW w:w="1364" w:type="dxa"/>
          </w:tcPr>
          <w:p w:rsidR="00360BC1" w:rsidRPr="000860D9" w:rsidRDefault="000860D9" w:rsidP="00676101">
            <w:pPr>
              <w:jc w:val="center"/>
              <w:rPr>
                <w:rFonts w:ascii="Arial" w:hAnsi="Arial" w:cs="Arial"/>
                <w:b/>
                <w:bCs/>
                <w:sz w:val="14"/>
                <w:szCs w:val="14"/>
              </w:rPr>
            </w:pPr>
            <w:r w:rsidRPr="000860D9">
              <w:rPr>
                <w:rFonts w:ascii="Arial" w:hAnsi="Arial" w:cs="Arial"/>
                <w:b/>
                <w:bCs/>
                <w:sz w:val="14"/>
                <w:szCs w:val="14"/>
              </w:rPr>
              <w:t>103.2</w:t>
            </w:r>
            <w:r>
              <w:rPr>
                <w:rFonts w:ascii="Arial" w:hAnsi="Arial" w:cs="Arial"/>
                <w:b/>
                <w:bCs/>
                <w:sz w:val="14"/>
                <w:szCs w:val="14"/>
              </w:rPr>
              <w:t>%</w:t>
            </w:r>
          </w:p>
        </w:tc>
        <w:tc>
          <w:tcPr>
            <w:tcW w:w="1276" w:type="dxa"/>
          </w:tcPr>
          <w:p w:rsidR="00360BC1" w:rsidRPr="000860D9" w:rsidRDefault="000860D9" w:rsidP="0014341C">
            <w:pPr>
              <w:jc w:val="right"/>
              <w:rPr>
                <w:rFonts w:ascii="Arial" w:hAnsi="Arial" w:cs="Arial"/>
                <w:b/>
                <w:bCs/>
                <w:sz w:val="14"/>
                <w:szCs w:val="14"/>
              </w:rPr>
            </w:pPr>
            <w:r w:rsidRPr="000860D9">
              <w:rPr>
                <w:rFonts w:ascii="Arial" w:hAnsi="Arial" w:cs="Arial"/>
                <w:b/>
                <w:bCs/>
                <w:sz w:val="14"/>
                <w:szCs w:val="14"/>
              </w:rPr>
              <w:t>6.199</w:t>
            </w:r>
          </w:p>
        </w:tc>
        <w:tc>
          <w:tcPr>
            <w:tcW w:w="992" w:type="dxa"/>
          </w:tcPr>
          <w:p w:rsidR="00360BC1" w:rsidRPr="000860D9" w:rsidRDefault="000860D9" w:rsidP="00676101">
            <w:pPr>
              <w:jc w:val="center"/>
              <w:rPr>
                <w:rFonts w:ascii="Arial" w:hAnsi="Arial" w:cs="Arial"/>
                <w:b/>
                <w:bCs/>
                <w:sz w:val="14"/>
                <w:szCs w:val="14"/>
              </w:rPr>
            </w:pPr>
            <w:r w:rsidRPr="000860D9">
              <w:rPr>
                <w:rFonts w:ascii="Arial" w:hAnsi="Arial" w:cs="Arial"/>
                <w:b/>
                <w:bCs/>
                <w:sz w:val="14"/>
                <w:szCs w:val="14"/>
              </w:rPr>
              <w:t>536.0</w:t>
            </w:r>
            <w:r w:rsidR="00676101">
              <w:rPr>
                <w:rFonts w:ascii="Arial" w:hAnsi="Arial" w:cs="Arial"/>
                <w:b/>
                <w:bCs/>
                <w:sz w:val="14"/>
                <w:szCs w:val="14"/>
              </w:rPr>
              <w:t>%</w:t>
            </w:r>
          </w:p>
        </w:tc>
      </w:tr>
      <w:tr w:rsidR="00E46354" w:rsidRPr="000860D9" w:rsidTr="001F334E">
        <w:trPr>
          <w:cnfStyle w:val="000000010000" w:firstRow="0" w:lastRow="0" w:firstColumn="0" w:lastColumn="0" w:oddVBand="0" w:evenVBand="0" w:oddHBand="0" w:evenHBand="1" w:firstRowFirstColumn="0" w:firstRowLastColumn="0" w:lastRowFirstColumn="0" w:lastRowLastColumn="0"/>
        </w:trPr>
        <w:tc>
          <w:tcPr>
            <w:tcW w:w="2219" w:type="dxa"/>
          </w:tcPr>
          <w:p w:rsidR="00360BC1" w:rsidRPr="000860D9" w:rsidRDefault="00360BC1" w:rsidP="0014341C">
            <w:pPr>
              <w:rPr>
                <w:rFonts w:ascii="Arial" w:hAnsi="Arial" w:cs="Arial"/>
                <w:b/>
                <w:bCs/>
                <w:sz w:val="14"/>
                <w:szCs w:val="14"/>
              </w:rPr>
            </w:pPr>
            <w:r w:rsidRPr="000860D9">
              <w:rPr>
                <w:rFonts w:ascii="Arial" w:hAnsi="Arial" w:cs="Arial"/>
                <w:b/>
                <w:bCs/>
                <w:sz w:val="14"/>
                <w:szCs w:val="14"/>
              </w:rPr>
              <w:t>Inventarios</w:t>
            </w:r>
          </w:p>
        </w:tc>
        <w:tc>
          <w:tcPr>
            <w:tcW w:w="1560" w:type="dxa"/>
          </w:tcPr>
          <w:p w:rsidR="00360BC1" w:rsidRPr="000860D9" w:rsidRDefault="000860D9" w:rsidP="0014341C">
            <w:pPr>
              <w:jc w:val="right"/>
              <w:rPr>
                <w:rFonts w:ascii="Arial" w:hAnsi="Arial" w:cs="Arial"/>
                <w:b/>
                <w:sz w:val="14"/>
                <w:szCs w:val="14"/>
              </w:rPr>
            </w:pPr>
            <w:r w:rsidRPr="000860D9">
              <w:rPr>
                <w:rFonts w:ascii="Arial" w:hAnsi="Arial" w:cs="Arial"/>
                <w:b/>
                <w:sz w:val="14"/>
                <w:szCs w:val="14"/>
              </w:rPr>
              <w:t>434</w:t>
            </w:r>
          </w:p>
        </w:tc>
        <w:tc>
          <w:tcPr>
            <w:tcW w:w="1559" w:type="dxa"/>
          </w:tcPr>
          <w:p w:rsidR="00360BC1" w:rsidRPr="000860D9" w:rsidRDefault="000860D9" w:rsidP="0014341C">
            <w:pPr>
              <w:jc w:val="right"/>
              <w:rPr>
                <w:rFonts w:ascii="Arial" w:hAnsi="Arial" w:cs="Arial"/>
                <w:b/>
                <w:sz w:val="14"/>
                <w:szCs w:val="14"/>
              </w:rPr>
            </w:pPr>
            <w:r>
              <w:rPr>
                <w:rFonts w:ascii="Arial" w:hAnsi="Arial" w:cs="Arial"/>
                <w:b/>
                <w:sz w:val="14"/>
                <w:szCs w:val="14"/>
              </w:rPr>
              <w:t>0</w:t>
            </w:r>
          </w:p>
        </w:tc>
        <w:tc>
          <w:tcPr>
            <w:tcW w:w="1364" w:type="dxa"/>
          </w:tcPr>
          <w:p w:rsidR="00360BC1" w:rsidRPr="000860D9" w:rsidRDefault="00360BC1" w:rsidP="00676101">
            <w:pPr>
              <w:jc w:val="center"/>
              <w:rPr>
                <w:rFonts w:ascii="Arial" w:hAnsi="Arial" w:cs="Arial"/>
                <w:b/>
                <w:bCs/>
                <w:sz w:val="14"/>
                <w:szCs w:val="14"/>
              </w:rPr>
            </w:pPr>
          </w:p>
        </w:tc>
        <w:tc>
          <w:tcPr>
            <w:tcW w:w="1276" w:type="dxa"/>
          </w:tcPr>
          <w:p w:rsidR="00360BC1" w:rsidRPr="000860D9" w:rsidRDefault="000860D9" w:rsidP="0014341C">
            <w:pPr>
              <w:jc w:val="right"/>
              <w:rPr>
                <w:rFonts w:ascii="Arial" w:hAnsi="Arial" w:cs="Arial"/>
                <w:b/>
                <w:bCs/>
                <w:sz w:val="14"/>
                <w:szCs w:val="14"/>
              </w:rPr>
            </w:pPr>
            <w:r>
              <w:rPr>
                <w:rFonts w:ascii="Arial" w:hAnsi="Arial" w:cs="Arial"/>
                <w:b/>
                <w:bCs/>
                <w:sz w:val="14"/>
                <w:szCs w:val="14"/>
              </w:rPr>
              <w:t>0</w:t>
            </w:r>
          </w:p>
        </w:tc>
        <w:tc>
          <w:tcPr>
            <w:tcW w:w="992" w:type="dxa"/>
          </w:tcPr>
          <w:p w:rsidR="00360BC1" w:rsidRPr="000860D9" w:rsidRDefault="00360BC1" w:rsidP="00676101">
            <w:pPr>
              <w:jc w:val="center"/>
              <w:rPr>
                <w:rFonts w:ascii="Arial" w:hAnsi="Arial" w:cs="Arial"/>
                <w:b/>
                <w:bCs/>
                <w:sz w:val="14"/>
                <w:szCs w:val="14"/>
              </w:rPr>
            </w:pPr>
          </w:p>
        </w:tc>
      </w:tr>
      <w:tr w:rsidR="00E46354" w:rsidRPr="000860D9" w:rsidTr="001F334E">
        <w:trPr>
          <w:cnfStyle w:val="000000100000" w:firstRow="0" w:lastRow="0" w:firstColumn="0" w:lastColumn="0" w:oddVBand="0" w:evenVBand="0" w:oddHBand="1" w:evenHBand="0" w:firstRowFirstColumn="0" w:firstRowLastColumn="0" w:lastRowFirstColumn="0" w:lastRowLastColumn="0"/>
        </w:trPr>
        <w:tc>
          <w:tcPr>
            <w:tcW w:w="2219" w:type="dxa"/>
          </w:tcPr>
          <w:p w:rsidR="00360BC1" w:rsidRPr="000860D9" w:rsidRDefault="00360BC1" w:rsidP="00EE59A5">
            <w:pPr>
              <w:rPr>
                <w:rFonts w:ascii="Arial" w:hAnsi="Arial" w:cs="Arial"/>
                <w:b/>
                <w:bCs/>
                <w:sz w:val="14"/>
                <w:szCs w:val="14"/>
              </w:rPr>
            </w:pPr>
            <w:r w:rsidRPr="000860D9">
              <w:rPr>
                <w:rFonts w:ascii="Arial" w:hAnsi="Arial" w:cs="Arial"/>
                <w:b/>
                <w:bCs/>
                <w:sz w:val="14"/>
                <w:szCs w:val="14"/>
              </w:rPr>
              <w:t>Otros activos</w:t>
            </w:r>
          </w:p>
        </w:tc>
        <w:tc>
          <w:tcPr>
            <w:tcW w:w="1560" w:type="dxa"/>
          </w:tcPr>
          <w:p w:rsidR="00360BC1" w:rsidRPr="000860D9" w:rsidRDefault="000860D9" w:rsidP="0014341C">
            <w:pPr>
              <w:jc w:val="right"/>
              <w:rPr>
                <w:rFonts w:ascii="Arial" w:hAnsi="Arial" w:cs="Arial"/>
                <w:b/>
                <w:sz w:val="14"/>
                <w:szCs w:val="14"/>
              </w:rPr>
            </w:pPr>
            <w:r w:rsidRPr="000860D9">
              <w:rPr>
                <w:rFonts w:ascii="Arial" w:hAnsi="Arial" w:cs="Arial"/>
                <w:b/>
                <w:sz w:val="14"/>
                <w:szCs w:val="14"/>
              </w:rPr>
              <w:t>241.520</w:t>
            </w:r>
          </w:p>
        </w:tc>
        <w:tc>
          <w:tcPr>
            <w:tcW w:w="1559" w:type="dxa"/>
          </w:tcPr>
          <w:p w:rsidR="00360BC1" w:rsidRPr="000860D9" w:rsidRDefault="000860D9" w:rsidP="0014341C">
            <w:pPr>
              <w:jc w:val="right"/>
              <w:rPr>
                <w:rFonts w:ascii="Arial" w:hAnsi="Arial" w:cs="Arial"/>
                <w:b/>
                <w:sz w:val="14"/>
                <w:szCs w:val="14"/>
              </w:rPr>
            </w:pPr>
            <w:r w:rsidRPr="000860D9">
              <w:rPr>
                <w:rFonts w:ascii="Arial" w:hAnsi="Arial" w:cs="Arial"/>
                <w:b/>
                <w:sz w:val="14"/>
                <w:szCs w:val="14"/>
              </w:rPr>
              <w:t>143.584</w:t>
            </w:r>
          </w:p>
        </w:tc>
        <w:tc>
          <w:tcPr>
            <w:tcW w:w="1364" w:type="dxa"/>
          </w:tcPr>
          <w:p w:rsidR="00360BC1" w:rsidRPr="000860D9" w:rsidRDefault="000860D9" w:rsidP="00676101">
            <w:pPr>
              <w:jc w:val="center"/>
              <w:rPr>
                <w:rFonts w:ascii="Arial" w:hAnsi="Arial" w:cs="Arial"/>
                <w:b/>
                <w:bCs/>
                <w:sz w:val="14"/>
                <w:szCs w:val="14"/>
              </w:rPr>
            </w:pPr>
            <w:r w:rsidRPr="000860D9">
              <w:rPr>
                <w:rFonts w:ascii="Arial" w:hAnsi="Arial" w:cs="Arial"/>
                <w:b/>
                <w:bCs/>
                <w:sz w:val="14"/>
                <w:szCs w:val="14"/>
              </w:rPr>
              <w:t>68.2</w:t>
            </w:r>
            <w:r>
              <w:rPr>
                <w:rFonts w:ascii="Arial" w:hAnsi="Arial" w:cs="Arial"/>
                <w:b/>
                <w:bCs/>
                <w:sz w:val="14"/>
                <w:szCs w:val="14"/>
              </w:rPr>
              <w:t>%</w:t>
            </w:r>
          </w:p>
        </w:tc>
        <w:tc>
          <w:tcPr>
            <w:tcW w:w="1276" w:type="dxa"/>
          </w:tcPr>
          <w:p w:rsidR="00360BC1" w:rsidRPr="000860D9" w:rsidRDefault="000860D9" w:rsidP="0014341C">
            <w:pPr>
              <w:jc w:val="right"/>
              <w:rPr>
                <w:rFonts w:ascii="Arial" w:hAnsi="Arial" w:cs="Arial"/>
                <w:b/>
                <w:bCs/>
                <w:sz w:val="14"/>
                <w:szCs w:val="14"/>
              </w:rPr>
            </w:pPr>
            <w:r w:rsidRPr="000860D9">
              <w:rPr>
                <w:rFonts w:ascii="Arial" w:hAnsi="Arial" w:cs="Arial"/>
                <w:b/>
                <w:bCs/>
                <w:sz w:val="14"/>
                <w:szCs w:val="14"/>
              </w:rPr>
              <w:t>97.046</w:t>
            </w:r>
          </w:p>
        </w:tc>
        <w:tc>
          <w:tcPr>
            <w:tcW w:w="992" w:type="dxa"/>
          </w:tcPr>
          <w:p w:rsidR="00360BC1" w:rsidRPr="000860D9" w:rsidRDefault="000860D9" w:rsidP="00676101">
            <w:pPr>
              <w:jc w:val="center"/>
              <w:rPr>
                <w:rFonts w:ascii="Arial" w:hAnsi="Arial" w:cs="Arial"/>
                <w:b/>
                <w:bCs/>
                <w:sz w:val="14"/>
                <w:szCs w:val="14"/>
              </w:rPr>
            </w:pPr>
            <w:r w:rsidRPr="000860D9">
              <w:rPr>
                <w:rFonts w:ascii="Arial" w:hAnsi="Arial" w:cs="Arial"/>
                <w:b/>
                <w:bCs/>
                <w:sz w:val="14"/>
                <w:szCs w:val="14"/>
              </w:rPr>
              <w:t>148.9</w:t>
            </w:r>
            <w:r w:rsidR="00676101">
              <w:rPr>
                <w:rFonts w:ascii="Arial" w:hAnsi="Arial" w:cs="Arial"/>
                <w:b/>
                <w:bCs/>
                <w:sz w:val="14"/>
                <w:szCs w:val="14"/>
              </w:rPr>
              <w:t>%</w:t>
            </w:r>
          </w:p>
        </w:tc>
      </w:tr>
      <w:tr w:rsidR="00E46354" w:rsidRPr="00381CE3" w:rsidTr="001F334E">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2219" w:type="dxa"/>
          </w:tcPr>
          <w:p w:rsidR="00360BC1" w:rsidRPr="000860D9" w:rsidRDefault="00360BC1" w:rsidP="0014341C">
            <w:pPr>
              <w:rPr>
                <w:rFonts w:ascii="Arial" w:hAnsi="Arial" w:cs="Arial"/>
                <w:b w:val="0"/>
                <w:bCs w:val="0"/>
                <w:sz w:val="14"/>
                <w:szCs w:val="14"/>
              </w:rPr>
            </w:pPr>
            <w:r w:rsidRPr="000860D9">
              <w:rPr>
                <w:rFonts w:ascii="Arial" w:hAnsi="Arial" w:cs="Arial"/>
                <w:sz w:val="14"/>
                <w:szCs w:val="14"/>
              </w:rPr>
              <w:t>Total activo corriente</w:t>
            </w:r>
          </w:p>
        </w:tc>
        <w:tc>
          <w:tcPr>
            <w:tcW w:w="1560" w:type="dxa"/>
          </w:tcPr>
          <w:p w:rsidR="00360BC1" w:rsidRPr="000860D9" w:rsidRDefault="000860D9" w:rsidP="0014341C">
            <w:pPr>
              <w:jc w:val="right"/>
              <w:cnfStyle w:val="010000000000" w:firstRow="0" w:lastRow="1" w:firstColumn="0" w:lastColumn="0" w:oddVBand="0" w:evenVBand="0" w:oddHBand="0" w:evenHBand="0" w:firstRowFirstColumn="0" w:firstRowLastColumn="0" w:lastRowFirstColumn="0" w:lastRowLastColumn="0"/>
              <w:rPr>
                <w:rFonts w:ascii="Arial" w:hAnsi="Arial" w:cs="Arial"/>
                <w:b/>
                <w:bCs/>
                <w:sz w:val="14"/>
                <w:szCs w:val="14"/>
              </w:rPr>
            </w:pPr>
            <w:r w:rsidRPr="000860D9">
              <w:rPr>
                <w:rFonts w:ascii="Arial" w:hAnsi="Arial" w:cs="Arial"/>
                <w:b/>
                <w:bCs/>
                <w:sz w:val="14"/>
                <w:szCs w:val="14"/>
              </w:rPr>
              <w:t>352.861</w:t>
            </w:r>
          </w:p>
        </w:tc>
        <w:tc>
          <w:tcPr>
            <w:tcW w:w="1559" w:type="dxa"/>
          </w:tcPr>
          <w:p w:rsidR="00360BC1" w:rsidRPr="000860D9" w:rsidRDefault="000860D9" w:rsidP="0014341C">
            <w:pPr>
              <w:jc w:val="right"/>
              <w:cnfStyle w:val="010000000000" w:firstRow="0" w:lastRow="1" w:firstColumn="0" w:lastColumn="0" w:oddVBand="0" w:evenVBand="0" w:oddHBand="0" w:evenHBand="0" w:firstRowFirstColumn="0" w:firstRowLastColumn="0" w:lastRowFirstColumn="0" w:lastRowLastColumn="0"/>
              <w:rPr>
                <w:rFonts w:ascii="Arial" w:hAnsi="Arial" w:cs="Arial"/>
                <w:b/>
                <w:bCs/>
                <w:sz w:val="14"/>
                <w:szCs w:val="14"/>
              </w:rPr>
            </w:pPr>
            <w:r w:rsidRPr="000860D9">
              <w:rPr>
                <w:rFonts w:ascii="Arial" w:hAnsi="Arial" w:cs="Arial"/>
                <w:b/>
                <w:bCs/>
                <w:sz w:val="14"/>
                <w:szCs w:val="14"/>
              </w:rPr>
              <w:t>217.234</w:t>
            </w:r>
          </w:p>
        </w:tc>
        <w:tc>
          <w:tcPr>
            <w:tcW w:w="1364" w:type="dxa"/>
          </w:tcPr>
          <w:p w:rsidR="00360BC1" w:rsidRPr="000860D9" w:rsidRDefault="000860D9" w:rsidP="00676101">
            <w:pPr>
              <w:jc w:val="center"/>
              <w:cnfStyle w:val="010000000000" w:firstRow="0" w:lastRow="1" w:firstColumn="0" w:lastColumn="0" w:oddVBand="0" w:evenVBand="0" w:oddHBand="0" w:evenHBand="0" w:firstRowFirstColumn="0" w:firstRowLastColumn="0" w:lastRowFirstColumn="0" w:lastRowLastColumn="0"/>
              <w:rPr>
                <w:rFonts w:ascii="Arial" w:hAnsi="Arial" w:cs="Arial"/>
                <w:b/>
                <w:bCs/>
                <w:sz w:val="14"/>
                <w:szCs w:val="14"/>
              </w:rPr>
            </w:pPr>
            <w:r w:rsidRPr="000860D9">
              <w:rPr>
                <w:rFonts w:ascii="Arial" w:hAnsi="Arial" w:cs="Arial"/>
                <w:b/>
                <w:bCs/>
                <w:sz w:val="14"/>
                <w:szCs w:val="14"/>
              </w:rPr>
              <w:t>62.4</w:t>
            </w:r>
            <w:r>
              <w:rPr>
                <w:rFonts w:ascii="Arial" w:hAnsi="Arial" w:cs="Arial"/>
                <w:b/>
                <w:bCs/>
                <w:sz w:val="14"/>
                <w:szCs w:val="14"/>
              </w:rPr>
              <w:t>%</w:t>
            </w:r>
          </w:p>
        </w:tc>
        <w:tc>
          <w:tcPr>
            <w:tcW w:w="1276" w:type="dxa"/>
          </w:tcPr>
          <w:p w:rsidR="00360BC1" w:rsidRPr="000860D9" w:rsidRDefault="000860D9" w:rsidP="0014341C">
            <w:pPr>
              <w:jc w:val="right"/>
              <w:cnfStyle w:val="010000000000" w:firstRow="0" w:lastRow="1" w:firstColumn="0" w:lastColumn="0" w:oddVBand="0" w:evenVBand="0" w:oddHBand="0" w:evenHBand="0" w:firstRowFirstColumn="0" w:firstRowLastColumn="0" w:lastRowFirstColumn="0" w:lastRowLastColumn="0"/>
              <w:rPr>
                <w:rFonts w:ascii="Arial" w:hAnsi="Arial" w:cs="Arial"/>
                <w:b/>
                <w:bCs/>
                <w:sz w:val="14"/>
                <w:szCs w:val="14"/>
              </w:rPr>
            </w:pPr>
            <w:r w:rsidRPr="000860D9">
              <w:rPr>
                <w:rFonts w:ascii="Arial" w:hAnsi="Arial" w:cs="Arial"/>
                <w:b/>
                <w:bCs/>
                <w:sz w:val="14"/>
                <w:szCs w:val="14"/>
              </w:rPr>
              <w:t>151.905</w:t>
            </w:r>
          </w:p>
        </w:tc>
        <w:tc>
          <w:tcPr>
            <w:tcW w:w="992" w:type="dxa"/>
          </w:tcPr>
          <w:p w:rsidR="00360BC1" w:rsidRPr="000860D9" w:rsidRDefault="000860D9" w:rsidP="00676101">
            <w:pPr>
              <w:jc w:val="center"/>
              <w:cnfStyle w:val="010000000000" w:firstRow="0" w:lastRow="1" w:firstColumn="0" w:lastColumn="0" w:oddVBand="0" w:evenVBand="0" w:oddHBand="0" w:evenHBand="0" w:firstRowFirstColumn="0" w:firstRowLastColumn="0" w:lastRowFirstColumn="0" w:lastRowLastColumn="0"/>
              <w:rPr>
                <w:rFonts w:ascii="Arial" w:hAnsi="Arial" w:cs="Arial"/>
                <w:b/>
                <w:bCs/>
                <w:sz w:val="14"/>
                <w:szCs w:val="14"/>
              </w:rPr>
            </w:pPr>
            <w:r w:rsidRPr="000860D9">
              <w:rPr>
                <w:rFonts w:ascii="Arial" w:hAnsi="Arial" w:cs="Arial"/>
                <w:b/>
                <w:bCs/>
                <w:sz w:val="14"/>
                <w:szCs w:val="14"/>
              </w:rPr>
              <w:t>132.3</w:t>
            </w:r>
            <w:r w:rsidR="00676101">
              <w:rPr>
                <w:rFonts w:ascii="Arial" w:hAnsi="Arial" w:cs="Arial"/>
                <w:b/>
                <w:bCs/>
                <w:sz w:val="14"/>
                <w:szCs w:val="14"/>
              </w:rPr>
              <w:t>%</w:t>
            </w:r>
          </w:p>
        </w:tc>
      </w:tr>
    </w:tbl>
    <w:p w:rsidR="00C32225" w:rsidRDefault="00676101" w:rsidP="00C32225">
      <w:pPr>
        <w:jc w:val="center"/>
        <w:rPr>
          <w:rFonts w:ascii="Arial" w:hAnsi="Arial" w:cs="Arial"/>
          <w:sz w:val="16"/>
          <w:szCs w:val="16"/>
        </w:rPr>
      </w:pPr>
      <w:r>
        <w:rPr>
          <w:rFonts w:ascii="Arial" w:hAnsi="Arial" w:cs="Arial"/>
          <w:sz w:val="16"/>
          <w:szCs w:val="16"/>
        </w:rPr>
        <w:t>A</w:t>
      </w:r>
      <w:r w:rsidR="00C32225" w:rsidRPr="009E7328">
        <w:rPr>
          <w:rFonts w:ascii="Arial" w:hAnsi="Arial" w:cs="Arial"/>
          <w:sz w:val="16"/>
          <w:szCs w:val="16"/>
        </w:rPr>
        <w:t>ctivos corrientes</w:t>
      </w:r>
      <w:r>
        <w:rPr>
          <w:rFonts w:ascii="Arial" w:hAnsi="Arial" w:cs="Arial"/>
          <w:sz w:val="16"/>
          <w:szCs w:val="16"/>
        </w:rPr>
        <w:t xml:space="preserve"> – millones de pesos</w:t>
      </w:r>
    </w:p>
    <w:p w:rsidR="00C32225" w:rsidRPr="009E7328" w:rsidRDefault="00C32225" w:rsidP="00C32225">
      <w:pPr>
        <w:jc w:val="center"/>
        <w:rPr>
          <w:rFonts w:ascii="Arial" w:hAnsi="Arial" w:cs="Arial"/>
          <w:sz w:val="16"/>
          <w:szCs w:val="16"/>
        </w:rPr>
      </w:pPr>
    </w:p>
    <w:p w:rsidR="004768CE" w:rsidRDefault="004768CE" w:rsidP="00C32225">
      <w:pPr>
        <w:jc w:val="both"/>
        <w:rPr>
          <w:rFonts w:ascii="Arial" w:hAnsi="Arial" w:cs="Arial"/>
        </w:rPr>
      </w:pPr>
    </w:p>
    <w:p w:rsidR="00C32225" w:rsidRPr="00E46354" w:rsidRDefault="004768CE" w:rsidP="00E46354">
      <w:pPr>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1824" behindDoc="0" locked="0" layoutInCell="1" allowOverlap="1" wp14:anchorId="6F508C3A" wp14:editId="00207BF8">
                <wp:simplePos x="0" y="0"/>
                <wp:positionH relativeFrom="column">
                  <wp:posOffset>4124325</wp:posOffset>
                </wp:positionH>
                <wp:positionV relativeFrom="paragraph">
                  <wp:posOffset>72390</wp:posOffset>
                </wp:positionV>
                <wp:extent cx="1742440" cy="1988820"/>
                <wp:effectExtent l="0" t="0" r="0" b="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98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8CE" w:rsidRPr="00A05FDC" w:rsidRDefault="004768CE" w:rsidP="004768CE">
                            <w:pPr>
                              <w:jc w:val="both"/>
                              <w:rPr>
                                <w:rFonts w:ascii="Arial" w:hAnsi="Arial" w:cs="Arial"/>
                              </w:rPr>
                            </w:pPr>
                            <w:r>
                              <w:rPr>
                                <w:rFonts w:ascii="Arial" w:hAnsi="Arial" w:cs="Arial"/>
                              </w:rPr>
                              <w:t>Dentro de los activos corrientes, el grupo de otros activos representa el 68,4% del cual, hacen parte la reserva financiera actuarial $226.819 y los recursos del PDA en fideicomiso $14.701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24.75pt;margin-top:5.7pt;width:137.2pt;height:15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2+duQ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" filled="f" stroked="f">
                <v:textbox>
                  <w:txbxContent>
                    <w:p w:rsidR="004768CE" w:rsidRPr="00A05FDC" w:rsidRDefault="004768CE" w:rsidP="004768CE">
                      <w:pPr>
                        <w:jc w:val="both"/>
                        <w:rPr>
                          <w:rFonts w:ascii="Arial" w:hAnsi="Arial" w:cs="Arial"/>
                        </w:rPr>
                      </w:pPr>
                      <w:r>
                        <w:rPr>
                          <w:rFonts w:ascii="Arial" w:hAnsi="Arial" w:cs="Arial"/>
                        </w:rPr>
                        <w:t>Dentro de los activos corrientes, el grupo de otros activos representa el 68,4% del cual, hacen parte la reserva financiera actuarial $226.819 y los recursos del PDA en fideicomiso $14.701</w:t>
                      </w:r>
                    </w:p>
                  </w:txbxContent>
                </v:textbox>
              </v:shape>
            </w:pict>
          </mc:Fallback>
        </mc:AlternateContent>
      </w:r>
      <w:r>
        <w:rPr>
          <w:noProof/>
          <w:lang w:val="es-CO" w:eastAsia="es-CO"/>
        </w:rPr>
        <w:drawing>
          <wp:inline distT="0" distB="0" distL="0" distR="0" wp14:anchorId="69C10FCE" wp14:editId="2E883F88">
            <wp:extent cx="4015740" cy="1988820"/>
            <wp:effectExtent l="0" t="0" r="22860" b="1143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0CF1" w:rsidRDefault="007B0CF1" w:rsidP="00C32225">
      <w:pPr>
        <w:jc w:val="both"/>
        <w:rPr>
          <w:rFonts w:ascii="Arial" w:hAnsi="Arial" w:cs="Arial"/>
        </w:rPr>
      </w:pPr>
    </w:p>
    <w:p w:rsidR="007B0CF1" w:rsidRPr="009E7328" w:rsidRDefault="007B0CF1" w:rsidP="00C32225">
      <w:pPr>
        <w:jc w:val="both"/>
        <w:rPr>
          <w:rFonts w:ascii="Arial" w:hAnsi="Arial" w:cs="Arial"/>
        </w:rPr>
      </w:pPr>
    </w:p>
    <w:p w:rsidR="00C32225" w:rsidRDefault="00C32225" w:rsidP="00C32225">
      <w:pPr>
        <w:jc w:val="both"/>
        <w:rPr>
          <w:rFonts w:ascii="Arial" w:hAnsi="Arial" w:cs="Arial"/>
        </w:rPr>
      </w:pPr>
      <w:r>
        <w:rPr>
          <w:rFonts w:ascii="Arial" w:hAnsi="Arial" w:cs="Arial"/>
        </w:rPr>
        <w:t xml:space="preserve">1.1.2  ACTIVOS NO CORRIENTES.  </w:t>
      </w:r>
    </w:p>
    <w:p w:rsidR="00E46354" w:rsidRDefault="00C32225" w:rsidP="00C32225">
      <w:pPr>
        <w:jc w:val="both"/>
        <w:rPr>
          <w:rFonts w:ascii="Arial" w:hAnsi="Arial" w:cs="Arial"/>
        </w:rPr>
      </w:pPr>
      <w:r w:rsidRPr="009E7328">
        <w:rPr>
          <w:rFonts w:ascii="Arial" w:hAnsi="Arial" w:cs="Arial"/>
        </w:rPr>
        <w:t xml:space="preserve">Este grupo representa aquellas partidas de bienes y derechos </w:t>
      </w:r>
      <w:r>
        <w:rPr>
          <w:rFonts w:ascii="Arial" w:hAnsi="Arial" w:cs="Arial"/>
        </w:rPr>
        <w:t xml:space="preserve">que posee </w:t>
      </w:r>
      <w:r w:rsidRPr="009E7328">
        <w:rPr>
          <w:rFonts w:ascii="Arial" w:hAnsi="Arial" w:cs="Arial"/>
        </w:rPr>
        <w:t>el Dep</w:t>
      </w:r>
      <w:r>
        <w:rPr>
          <w:rFonts w:ascii="Arial" w:hAnsi="Arial" w:cs="Arial"/>
        </w:rPr>
        <w:t>artamento y cuya posibilidad de convertirlos</w:t>
      </w:r>
      <w:r w:rsidRPr="009E7328">
        <w:rPr>
          <w:rFonts w:ascii="Arial" w:hAnsi="Arial" w:cs="Arial"/>
        </w:rPr>
        <w:t xml:space="preserve"> en efectivo </w:t>
      </w:r>
      <w:r>
        <w:rPr>
          <w:rFonts w:ascii="Arial" w:hAnsi="Arial" w:cs="Arial"/>
        </w:rPr>
        <w:t>va más allá de un año</w:t>
      </w:r>
      <w:r w:rsidRPr="009E7328">
        <w:rPr>
          <w:rFonts w:ascii="Arial" w:hAnsi="Arial" w:cs="Arial"/>
        </w:rPr>
        <w:t xml:space="preserve">. </w:t>
      </w:r>
    </w:p>
    <w:p w:rsidR="00E46354" w:rsidRDefault="00E46354" w:rsidP="00C32225">
      <w:pPr>
        <w:jc w:val="both"/>
        <w:rPr>
          <w:rFonts w:ascii="Arial" w:hAnsi="Arial" w:cs="Arial"/>
        </w:rPr>
      </w:pPr>
    </w:p>
    <w:p w:rsidR="00E46354" w:rsidRPr="008B028C" w:rsidRDefault="00E46354" w:rsidP="00E46354">
      <w:pPr>
        <w:jc w:val="both"/>
        <w:rPr>
          <w:rFonts w:ascii="Arial" w:hAnsi="Arial" w:cs="Arial"/>
        </w:rPr>
      </w:pPr>
    </w:p>
    <w:tbl>
      <w:tblPr>
        <w:tblStyle w:val="Tablaclsica2"/>
        <w:tblW w:w="0" w:type="auto"/>
        <w:tblLook w:val="01E0" w:firstRow="1" w:lastRow="1" w:firstColumn="1" w:lastColumn="1" w:noHBand="0" w:noVBand="0"/>
      </w:tblPr>
      <w:tblGrid>
        <w:gridCol w:w="2849"/>
        <w:gridCol w:w="1418"/>
        <w:gridCol w:w="1417"/>
        <w:gridCol w:w="1276"/>
        <w:gridCol w:w="1134"/>
        <w:gridCol w:w="1341"/>
      </w:tblGrid>
      <w:tr w:rsidR="00E46354" w:rsidRPr="00381CE3" w:rsidTr="001F33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49" w:type="dxa"/>
          </w:tcPr>
          <w:p w:rsidR="00E46354" w:rsidRPr="00381CE3" w:rsidRDefault="00E46354" w:rsidP="00D41F74">
            <w:pPr>
              <w:jc w:val="center"/>
              <w:rPr>
                <w:rFonts w:ascii="Arial" w:hAnsi="Arial" w:cs="Arial"/>
                <w:b w:val="0"/>
                <w:bCs w:val="0"/>
                <w:sz w:val="14"/>
                <w:szCs w:val="14"/>
              </w:rPr>
            </w:pPr>
            <w:r w:rsidRPr="00381CE3">
              <w:rPr>
                <w:rFonts w:ascii="Arial" w:hAnsi="Arial" w:cs="Arial"/>
                <w:sz w:val="14"/>
                <w:szCs w:val="14"/>
              </w:rPr>
              <w:t>GRUPOS</w:t>
            </w:r>
          </w:p>
        </w:tc>
        <w:tc>
          <w:tcPr>
            <w:tcW w:w="1418" w:type="dxa"/>
          </w:tcPr>
          <w:p w:rsidR="00E46354" w:rsidRPr="00381CE3" w:rsidRDefault="003D09C1" w:rsidP="003D09C1">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MARZO 2013</w:t>
            </w:r>
          </w:p>
        </w:tc>
        <w:tc>
          <w:tcPr>
            <w:tcW w:w="1417" w:type="dxa"/>
          </w:tcPr>
          <w:p w:rsidR="00E46354" w:rsidRPr="00381CE3" w:rsidRDefault="003D09C1" w:rsidP="003D09C1">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MARZO 2012</w:t>
            </w:r>
          </w:p>
        </w:tc>
        <w:tc>
          <w:tcPr>
            <w:tcW w:w="1276" w:type="dxa"/>
          </w:tcPr>
          <w:p w:rsidR="00E46354" w:rsidRPr="00381CE3" w:rsidRDefault="00E46354" w:rsidP="00D41F74">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Aumento  o Disminución</w:t>
            </w:r>
          </w:p>
        </w:tc>
        <w:tc>
          <w:tcPr>
            <w:tcW w:w="1134" w:type="dxa"/>
          </w:tcPr>
          <w:p w:rsidR="00E46354" w:rsidRPr="00381CE3" w:rsidRDefault="003D09C1" w:rsidP="00D41F74">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MARZO</w:t>
            </w:r>
            <w:r w:rsidR="00E46354">
              <w:rPr>
                <w:rFonts w:ascii="Arial" w:hAnsi="Arial" w:cs="Arial"/>
                <w:b/>
                <w:bCs/>
                <w:sz w:val="14"/>
                <w:szCs w:val="14"/>
              </w:rPr>
              <w:t xml:space="preserve"> 2009</w:t>
            </w:r>
          </w:p>
        </w:tc>
        <w:tc>
          <w:tcPr>
            <w:cnfStyle w:val="000000001000" w:firstRow="0" w:lastRow="0" w:firstColumn="0" w:lastColumn="0" w:oddVBand="0" w:evenVBand="0" w:oddHBand="0" w:evenHBand="0" w:firstRowFirstColumn="0" w:firstRowLastColumn="1" w:lastRowFirstColumn="0" w:lastRowLastColumn="0"/>
            <w:tcW w:w="1341" w:type="dxa"/>
          </w:tcPr>
          <w:p w:rsidR="00E46354" w:rsidRDefault="00E46354" w:rsidP="00D41F74">
            <w:pPr>
              <w:jc w:val="center"/>
              <w:rPr>
                <w:rFonts w:ascii="Arial" w:hAnsi="Arial" w:cs="Arial"/>
                <w:b w:val="0"/>
                <w:bCs w:val="0"/>
                <w:sz w:val="14"/>
                <w:szCs w:val="14"/>
              </w:rPr>
            </w:pPr>
            <w:r>
              <w:rPr>
                <w:rFonts w:ascii="Arial" w:hAnsi="Arial" w:cs="Arial"/>
                <w:b w:val="0"/>
                <w:bCs w:val="0"/>
                <w:sz w:val="14"/>
                <w:szCs w:val="14"/>
              </w:rPr>
              <w:t>Aumento  o Disminución</w:t>
            </w:r>
          </w:p>
        </w:tc>
      </w:tr>
      <w:tr w:rsidR="00E46354" w:rsidRPr="00381CE3" w:rsidTr="001F334E">
        <w:tc>
          <w:tcPr>
            <w:cnfStyle w:val="001000000000" w:firstRow="0" w:lastRow="0" w:firstColumn="1" w:lastColumn="0" w:oddVBand="0" w:evenVBand="0" w:oddHBand="0" w:evenHBand="0" w:firstRowFirstColumn="0" w:firstRowLastColumn="0" w:lastRowFirstColumn="0" w:lastRowLastColumn="0"/>
            <w:tcW w:w="2849" w:type="dxa"/>
          </w:tcPr>
          <w:p w:rsidR="00E46354" w:rsidRPr="00381CE3" w:rsidRDefault="00E46354" w:rsidP="00D41F74">
            <w:pPr>
              <w:rPr>
                <w:rFonts w:ascii="Arial" w:hAnsi="Arial" w:cs="Arial"/>
                <w:b w:val="0"/>
                <w:bCs w:val="0"/>
                <w:sz w:val="14"/>
                <w:szCs w:val="14"/>
              </w:rPr>
            </w:pPr>
            <w:r w:rsidRPr="00381CE3">
              <w:rPr>
                <w:rFonts w:ascii="Arial" w:hAnsi="Arial" w:cs="Arial"/>
                <w:sz w:val="14"/>
                <w:szCs w:val="14"/>
              </w:rPr>
              <w:t>Inversiones</w:t>
            </w:r>
          </w:p>
        </w:tc>
        <w:tc>
          <w:tcPr>
            <w:tcW w:w="1418" w:type="dxa"/>
          </w:tcPr>
          <w:p w:rsidR="00E46354" w:rsidRPr="00381CE3" w:rsidRDefault="00E46354"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14.299</w:t>
            </w:r>
          </w:p>
        </w:tc>
        <w:tc>
          <w:tcPr>
            <w:tcW w:w="1417" w:type="dxa"/>
          </w:tcPr>
          <w:p w:rsidR="00E46354" w:rsidRPr="00381CE3" w:rsidRDefault="00E46354"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14.367</w:t>
            </w:r>
          </w:p>
        </w:tc>
        <w:tc>
          <w:tcPr>
            <w:tcW w:w="1276"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(0.5%)</w:t>
            </w:r>
          </w:p>
        </w:tc>
        <w:tc>
          <w:tcPr>
            <w:tcW w:w="1134" w:type="dxa"/>
          </w:tcPr>
          <w:p w:rsidR="00E46354" w:rsidRDefault="00E46354"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35.695</w:t>
            </w:r>
          </w:p>
        </w:tc>
        <w:tc>
          <w:tcPr>
            <w:tcW w:w="1341"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(59.9%)</w:t>
            </w:r>
          </w:p>
        </w:tc>
      </w:tr>
      <w:tr w:rsidR="00E46354" w:rsidRPr="00381CE3" w:rsidTr="001F334E">
        <w:tc>
          <w:tcPr>
            <w:cnfStyle w:val="001000000000" w:firstRow="0" w:lastRow="0" w:firstColumn="1" w:lastColumn="0" w:oddVBand="0" w:evenVBand="0" w:oddHBand="0" w:evenHBand="0" w:firstRowFirstColumn="0" w:firstRowLastColumn="0" w:lastRowFirstColumn="0" w:lastRowLastColumn="0"/>
            <w:tcW w:w="2849" w:type="dxa"/>
          </w:tcPr>
          <w:p w:rsidR="00E46354" w:rsidRPr="00381CE3" w:rsidRDefault="00E46354" w:rsidP="00D41F74">
            <w:pPr>
              <w:rPr>
                <w:rFonts w:ascii="Arial" w:hAnsi="Arial" w:cs="Arial"/>
                <w:b w:val="0"/>
                <w:bCs w:val="0"/>
                <w:sz w:val="14"/>
                <w:szCs w:val="14"/>
              </w:rPr>
            </w:pPr>
            <w:r w:rsidRPr="00381CE3">
              <w:rPr>
                <w:rFonts w:ascii="Arial" w:hAnsi="Arial" w:cs="Arial"/>
                <w:sz w:val="14"/>
                <w:szCs w:val="14"/>
              </w:rPr>
              <w:t>Rentas por cobrar</w:t>
            </w:r>
          </w:p>
        </w:tc>
        <w:tc>
          <w:tcPr>
            <w:tcW w:w="1418"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8.772</w:t>
            </w:r>
          </w:p>
        </w:tc>
        <w:tc>
          <w:tcPr>
            <w:tcW w:w="1417"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8.412</w:t>
            </w:r>
          </w:p>
        </w:tc>
        <w:tc>
          <w:tcPr>
            <w:tcW w:w="1276"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4.3%</w:t>
            </w:r>
          </w:p>
        </w:tc>
        <w:tc>
          <w:tcPr>
            <w:tcW w:w="1134"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24.782</w:t>
            </w:r>
          </w:p>
        </w:tc>
        <w:tc>
          <w:tcPr>
            <w:tcW w:w="1341"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(64.6%)</w:t>
            </w:r>
          </w:p>
        </w:tc>
      </w:tr>
      <w:tr w:rsidR="00E46354" w:rsidRPr="00381CE3" w:rsidTr="001F334E">
        <w:tc>
          <w:tcPr>
            <w:cnfStyle w:val="001000000000" w:firstRow="0" w:lastRow="0" w:firstColumn="1" w:lastColumn="0" w:oddVBand="0" w:evenVBand="0" w:oddHBand="0" w:evenHBand="0" w:firstRowFirstColumn="0" w:firstRowLastColumn="0" w:lastRowFirstColumn="0" w:lastRowLastColumn="0"/>
            <w:tcW w:w="2849" w:type="dxa"/>
          </w:tcPr>
          <w:p w:rsidR="00E46354" w:rsidRPr="00381CE3" w:rsidRDefault="00E46354" w:rsidP="00D41F74">
            <w:pPr>
              <w:rPr>
                <w:rFonts w:ascii="Arial" w:hAnsi="Arial" w:cs="Arial"/>
                <w:b w:val="0"/>
                <w:bCs w:val="0"/>
                <w:sz w:val="14"/>
                <w:szCs w:val="14"/>
              </w:rPr>
            </w:pPr>
            <w:r w:rsidRPr="00381CE3">
              <w:rPr>
                <w:rFonts w:ascii="Arial" w:hAnsi="Arial" w:cs="Arial"/>
                <w:sz w:val="14"/>
                <w:szCs w:val="14"/>
              </w:rPr>
              <w:t>Deudores</w:t>
            </w:r>
          </w:p>
        </w:tc>
        <w:tc>
          <w:tcPr>
            <w:tcW w:w="1418"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20.444</w:t>
            </w:r>
          </w:p>
        </w:tc>
        <w:tc>
          <w:tcPr>
            <w:tcW w:w="1417"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308</w:t>
            </w:r>
          </w:p>
        </w:tc>
        <w:tc>
          <w:tcPr>
            <w:tcW w:w="1276"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6944%</w:t>
            </w:r>
          </w:p>
        </w:tc>
        <w:tc>
          <w:tcPr>
            <w:tcW w:w="1134"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83</w:t>
            </w:r>
          </w:p>
        </w:tc>
        <w:tc>
          <w:tcPr>
            <w:tcW w:w="1341"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24415%</w:t>
            </w:r>
          </w:p>
        </w:tc>
      </w:tr>
      <w:tr w:rsidR="00E46354" w:rsidRPr="00381CE3" w:rsidTr="001F334E">
        <w:tc>
          <w:tcPr>
            <w:cnfStyle w:val="001000000000" w:firstRow="0" w:lastRow="0" w:firstColumn="1" w:lastColumn="0" w:oddVBand="0" w:evenVBand="0" w:oddHBand="0" w:evenHBand="0" w:firstRowFirstColumn="0" w:firstRowLastColumn="0" w:lastRowFirstColumn="0" w:lastRowLastColumn="0"/>
            <w:tcW w:w="2849" w:type="dxa"/>
          </w:tcPr>
          <w:p w:rsidR="00E46354" w:rsidRPr="00381CE3" w:rsidRDefault="00E46354" w:rsidP="00D41F74">
            <w:pPr>
              <w:rPr>
                <w:rFonts w:ascii="Arial" w:hAnsi="Arial" w:cs="Arial"/>
                <w:b w:val="0"/>
                <w:bCs w:val="0"/>
                <w:sz w:val="14"/>
                <w:szCs w:val="14"/>
              </w:rPr>
            </w:pPr>
            <w:r w:rsidRPr="00381CE3">
              <w:rPr>
                <w:rFonts w:ascii="Arial" w:hAnsi="Arial" w:cs="Arial"/>
                <w:sz w:val="14"/>
                <w:szCs w:val="14"/>
              </w:rPr>
              <w:t>Propiedad planta y equipo</w:t>
            </w:r>
          </w:p>
        </w:tc>
        <w:tc>
          <w:tcPr>
            <w:tcW w:w="1418"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41.271</w:t>
            </w:r>
          </w:p>
        </w:tc>
        <w:tc>
          <w:tcPr>
            <w:tcW w:w="1417"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26.477</w:t>
            </w:r>
          </w:p>
        </w:tc>
        <w:tc>
          <w:tcPr>
            <w:tcW w:w="1276"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55.9%</w:t>
            </w:r>
          </w:p>
        </w:tc>
        <w:tc>
          <w:tcPr>
            <w:tcW w:w="1134"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24.526</w:t>
            </w:r>
          </w:p>
        </w:tc>
        <w:tc>
          <w:tcPr>
            <w:tcW w:w="1341"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68.3%</w:t>
            </w:r>
          </w:p>
        </w:tc>
      </w:tr>
      <w:tr w:rsidR="00E46354" w:rsidRPr="00381CE3" w:rsidTr="001F334E">
        <w:tc>
          <w:tcPr>
            <w:cnfStyle w:val="001000000000" w:firstRow="0" w:lastRow="0" w:firstColumn="1" w:lastColumn="0" w:oddVBand="0" w:evenVBand="0" w:oddHBand="0" w:evenHBand="0" w:firstRowFirstColumn="0" w:firstRowLastColumn="0" w:lastRowFirstColumn="0" w:lastRowLastColumn="0"/>
            <w:tcW w:w="2849" w:type="dxa"/>
          </w:tcPr>
          <w:p w:rsidR="00E46354" w:rsidRPr="00381CE3" w:rsidRDefault="00E46354" w:rsidP="00D41F74">
            <w:pPr>
              <w:rPr>
                <w:rFonts w:ascii="Arial" w:hAnsi="Arial" w:cs="Arial"/>
                <w:b w:val="0"/>
                <w:bCs w:val="0"/>
                <w:sz w:val="14"/>
                <w:szCs w:val="14"/>
              </w:rPr>
            </w:pPr>
            <w:r w:rsidRPr="00381CE3">
              <w:rPr>
                <w:rFonts w:ascii="Arial" w:hAnsi="Arial" w:cs="Arial"/>
                <w:sz w:val="14"/>
                <w:szCs w:val="14"/>
              </w:rPr>
              <w:t xml:space="preserve">Bienes de </w:t>
            </w:r>
            <w:proofErr w:type="spellStart"/>
            <w:r w:rsidRPr="00381CE3">
              <w:rPr>
                <w:rFonts w:ascii="Arial" w:hAnsi="Arial" w:cs="Arial"/>
                <w:sz w:val="14"/>
                <w:szCs w:val="14"/>
              </w:rPr>
              <w:t>benef</w:t>
            </w:r>
            <w:proofErr w:type="spellEnd"/>
            <w:r w:rsidRPr="00381CE3">
              <w:rPr>
                <w:rFonts w:ascii="Arial" w:hAnsi="Arial" w:cs="Arial"/>
                <w:sz w:val="14"/>
                <w:szCs w:val="14"/>
              </w:rPr>
              <w:t xml:space="preserve">  y uso público</w:t>
            </w:r>
          </w:p>
        </w:tc>
        <w:tc>
          <w:tcPr>
            <w:tcW w:w="1418"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26.112</w:t>
            </w:r>
          </w:p>
        </w:tc>
        <w:tc>
          <w:tcPr>
            <w:tcW w:w="1417"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41.866</w:t>
            </w:r>
          </w:p>
        </w:tc>
        <w:tc>
          <w:tcPr>
            <w:tcW w:w="1276"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(37.6%)</w:t>
            </w:r>
          </w:p>
        </w:tc>
        <w:tc>
          <w:tcPr>
            <w:tcW w:w="1134"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27.983</w:t>
            </w:r>
          </w:p>
        </w:tc>
        <w:tc>
          <w:tcPr>
            <w:tcW w:w="1341"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(6.7%)</w:t>
            </w:r>
          </w:p>
        </w:tc>
      </w:tr>
      <w:tr w:rsidR="00E46354" w:rsidRPr="00381CE3" w:rsidTr="001F334E">
        <w:tc>
          <w:tcPr>
            <w:cnfStyle w:val="001000000000" w:firstRow="0" w:lastRow="0" w:firstColumn="1" w:lastColumn="0" w:oddVBand="0" w:evenVBand="0" w:oddHBand="0" w:evenHBand="0" w:firstRowFirstColumn="0" w:firstRowLastColumn="0" w:lastRowFirstColumn="0" w:lastRowLastColumn="0"/>
            <w:tcW w:w="2849" w:type="dxa"/>
          </w:tcPr>
          <w:p w:rsidR="00E46354" w:rsidRPr="00381CE3" w:rsidRDefault="00E46354" w:rsidP="00D41F74">
            <w:pPr>
              <w:rPr>
                <w:rFonts w:ascii="Arial" w:hAnsi="Arial" w:cs="Arial"/>
                <w:b w:val="0"/>
                <w:bCs w:val="0"/>
                <w:sz w:val="14"/>
                <w:szCs w:val="14"/>
              </w:rPr>
            </w:pPr>
            <w:r w:rsidRPr="00381CE3">
              <w:rPr>
                <w:rFonts w:ascii="Arial" w:hAnsi="Arial" w:cs="Arial"/>
                <w:sz w:val="14"/>
                <w:szCs w:val="14"/>
              </w:rPr>
              <w:t>Otros activos</w:t>
            </w:r>
          </w:p>
        </w:tc>
        <w:tc>
          <w:tcPr>
            <w:tcW w:w="1418"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50.503</w:t>
            </w:r>
          </w:p>
        </w:tc>
        <w:tc>
          <w:tcPr>
            <w:tcW w:w="1417"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61.406</w:t>
            </w:r>
          </w:p>
        </w:tc>
        <w:tc>
          <w:tcPr>
            <w:tcW w:w="1276" w:type="dxa"/>
          </w:tcPr>
          <w:p w:rsidR="00E46354" w:rsidRPr="00381CE3"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(17.8%)</w:t>
            </w:r>
          </w:p>
        </w:tc>
        <w:tc>
          <w:tcPr>
            <w:tcW w:w="1134"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57.200</w:t>
            </w:r>
          </w:p>
        </w:tc>
        <w:tc>
          <w:tcPr>
            <w:tcW w:w="1341" w:type="dxa"/>
          </w:tcPr>
          <w:p w:rsidR="00E46354" w:rsidRDefault="001952F0" w:rsidP="00D41F7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(11.7%)</w:t>
            </w:r>
          </w:p>
        </w:tc>
      </w:tr>
      <w:tr w:rsidR="00E46354" w:rsidRPr="00381CE3" w:rsidTr="001F334E">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849" w:type="dxa"/>
          </w:tcPr>
          <w:p w:rsidR="00E46354" w:rsidRPr="00381CE3" w:rsidRDefault="00E46354" w:rsidP="00D41F74">
            <w:pPr>
              <w:rPr>
                <w:rFonts w:ascii="Arial" w:hAnsi="Arial" w:cs="Arial"/>
                <w:b w:val="0"/>
                <w:bCs w:val="0"/>
                <w:sz w:val="14"/>
                <w:szCs w:val="14"/>
              </w:rPr>
            </w:pPr>
            <w:r w:rsidRPr="00381CE3">
              <w:rPr>
                <w:rFonts w:ascii="Arial" w:hAnsi="Arial" w:cs="Arial"/>
                <w:sz w:val="14"/>
                <w:szCs w:val="14"/>
              </w:rPr>
              <w:t>Total activo no corriente</w:t>
            </w:r>
          </w:p>
        </w:tc>
        <w:tc>
          <w:tcPr>
            <w:tcW w:w="1418" w:type="dxa"/>
          </w:tcPr>
          <w:p w:rsidR="00E46354" w:rsidRPr="00381CE3" w:rsidRDefault="001952F0" w:rsidP="00D41F74">
            <w:pPr>
              <w:jc w:val="right"/>
              <w:cnfStyle w:val="010000000000" w:firstRow="0" w:lastRow="1"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161.300</w:t>
            </w:r>
          </w:p>
        </w:tc>
        <w:tc>
          <w:tcPr>
            <w:tcW w:w="1417" w:type="dxa"/>
          </w:tcPr>
          <w:p w:rsidR="00E46354" w:rsidRPr="00381CE3" w:rsidRDefault="001952F0" w:rsidP="00D41F74">
            <w:pPr>
              <w:jc w:val="right"/>
              <w:cnfStyle w:val="010000000000" w:firstRow="0" w:lastRow="1"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152.836</w:t>
            </w:r>
          </w:p>
        </w:tc>
        <w:tc>
          <w:tcPr>
            <w:tcW w:w="1276" w:type="dxa"/>
          </w:tcPr>
          <w:p w:rsidR="00E46354" w:rsidRPr="00381CE3" w:rsidRDefault="001952F0" w:rsidP="00D41F74">
            <w:pPr>
              <w:jc w:val="right"/>
              <w:cnfStyle w:val="010000000000" w:firstRow="0" w:lastRow="1"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5.5%</w:t>
            </w:r>
          </w:p>
        </w:tc>
        <w:tc>
          <w:tcPr>
            <w:tcW w:w="1134" w:type="dxa"/>
          </w:tcPr>
          <w:p w:rsidR="00E46354" w:rsidRDefault="001952F0" w:rsidP="00D41F74">
            <w:pPr>
              <w:jc w:val="right"/>
              <w:cnfStyle w:val="010000000000" w:firstRow="0" w:lastRow="1"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170.270</w:t>
            </w:r>
          </w:p>
        </w:tc>
        <w:tc>
          <w:tcPr>
            <w:tcW w:w="1341" w:type="dxa"/>
          </w:tcPr>
          <w:p w:rsidR="00E46354" w:rsidRDefault="001952F0" w:rsidP="00D41F74">
            <w:pPr>
              <w:jc w:val="right"/>
              <w:cnfStyle w:val="010000000000" w:firstRow="0" w:lastRow="1"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(5.3%)</w:t>
            </w:r>
          </w:p>
        </w:tc>
      </w:tr>
    </w:tbl>
    <w:p w:rsidR="00E46354" w:rsidRPr="009E7328" w:rsidRDefault="003D09C1" w:rsidP="003D09C1">
      <w:pPr>
        <w:jc w:val="center"/>
        <w:rPr>
          <w:rFonts w:ascii="Arial" w:hAnsi="Arial" w:cs="Arial"/>
          <w:sz w:val="16"/>
          <w:szCs w:val="16"/>
        </w:rPr>
      </w:pPr>
      <w:r>
        <w:rPr>
          <w:rFonts w:ascii="Arial" w:hAnsi="Arial" w:cs="Arial"/>
          <w:sz w:val="16"/>
          <w:szCs w:val="16"/>
        </w:rPr>
        <w:t>A</w:t>
      </w:r>
      <w:r w:rsidR="00E46354" w:rsidRPr="009E7328">
        <w:rPr>
          <w:rFonts w:ascii="Arial" w:hAnsi="Arial" w:cs="Arial"/>
          <w:sz w:val="16"/>
          <w:szCs w:val="16"/>
        </w:rPr>
        <w:t>ctivos no corrientes</w:t>
      </w:r>
      <w:r>
        <w:rPr>
          <w:rFonts w:ascii="Arial" w:hAnsi="Arial" w:cs="Arial"/>
          <w:sz w:val="16"/>
          <w:szCs w:val="16"/>
        </w:rPr>
        <w:t xml:space="preserve"> en millones de pesos</w:t>
      </w:r>
    </w:p>
    <w:p w:rsidR="00E46354" w:rsidRDefault="00E46354" w:rsidP="00C32225">
      <w:pPr>
        <w:jc w:val="both"/>
        <w:rPr>
          <w:rFonts w:ascii="Arial" w:hAnsi="Arial" w:cs="Arial"/>
        </w:rPr>
      </w:pPr>
    </w:p>
    <w:p w:rsidR="00E46354" w:rsidRDefault="00E46354" w:rsidP="00C32225">
      <w:pPr>
        <w:jc w:val="both"/>
        <w:rPr>
          <w:rFonts w:ascii="Arial" w:hAnsi="Arial" w:cs="Arial"/>
        </w:rPr>
      </w:pPr>
    </w:p>
    <w:p w:rsidR="00C32225" w:rsidRDefault="00C32225" w:rsidP="00C32225">
      <w:pPr>
        <w:jc w:val="both"/>
        <w:rPr>
          <w:rFonts w:ascii="Arial" w:hAnsi="Arial" w:cs="Arial"/>
        </w:rPr>
      </w:pPr>
      <w:r>
        <w:rPr>
          <w:rFonts w:ascii="Arial" w:hAnsi="Arial" w:cs="Arial"/>
        </w:rPr>
        <w:t>1.2 PASIVOS</w:t>
      </w:r>
    </w:p>
    <w:p w:rsidR="00C32225" w:rsidRDefault="00C32225" w:rsidP="00C32225">
      <w:pPr>
        <w:jc w:val="both"/>
        <w:rPr>
          <w:rFonts w:ascii="Arial" w:hAnsi="Arial" w:cs="Arial"/>
        </w:rPr>
      </w:pPr>
    </w:p>
    <w:p w:rsidR="001F334E" w:rsidRDefault="00C32225" w:rsidP="00C32225">
      <w:pPr>
        <w:jc w:val="both"/>
        <w:rPr>
          <w:rFonts w:ascii="Arial" w:hAnsi="Arial" w:cs="Arial"/>
        </w:rPr>
      </w:pPr>
      <w:r>
        <w:rPr>
          <w:rFonts w:ascii="Arial" w:hAnsi="Arial" w:cs="Arial"/>
        </w:rPr>
        <w:t>En este grupo del balance se agrupan todas las partidas que representan para el Departamento obligaciones inmediatas y de largo plazo, contraídas con ocasión del cumplimiento de su misión estatal. Los pasiv</w:t>
      </w:r>
      <w:r w:rsidR="001F334E">
        <w:rPr>
          <w:rFonts w:ascii="Arial" w:hAnsi="Arial" w:cs="Arial"/>
        </w:rPr>
        <w:t>os totales al culminar el primer trimestre contabilizaron $141.376  que constituyen el 27.4% del total de activos</w:t>
      </w:r>
    </w:p>
    <w:p w:rsidR="00C32225" w:rsidRDefault="001F334E" w:rsidP="00C32225">
      <w:pPr>
        <w:jc w:val="both"/>
      </w:pPr>
      <w:r>
        <w:rPr>
          <w:rFonts w:ascii="Arial" w:hAnsi="Arial" w:cs="Arial"/>
          <w:noProof/>
          <w:lang w:val="es-CO" w:eastAsia="es-CO"/>
        </w:rPr>
        <w:lastRenderedPageBreak/>
        <mc:AlternateContent>
          <mc:Choice Requires="wps">
            <w:drawing>
              <wp:anchor distT="0" distB="0" distL="114300" distR="114300" simplePos="0" relativeHeight="251656704" behindDoc="0" locked="0" layoutInCell="1" allowOverlap="1" wp14:anchorId="315D4073" wp14:editId="617E4FC5">
                <wp:simplePos x="0" y="0"/>
                <wp:positionH relativeFrom="column">
                  <wp:posOffset>4421505</wp:posOffset>
                </wp:positionH>
                <wp:positionV relativeFrom="paragraph">
                  <wp:posOffset>1270</wp:posOffset>
                </wp:positionV>
                <wp:extent cx="1279525" cy="272669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272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B48" w:rsidRPr="00A05FDC" w:rsidRDefault="00062B48" w:rsidP="00C32225">
                            <w:pPr>
                              <w:jc w:val="both"/>
                              <w:rPr>
                                <w:rFonts w:ascii="Arial" w:hAnsi="Arial" w:cs="Arial"/>
                              </w:rPr>
                            </w:pPr>
                            <w:r w:rsidRPr="00A05FDC">
                              <w:rPr>
                                <w:rFonts w:ascii="Arial" w:hAnsi="Arial" w:cs="Arial"/>
                              </w:rPr>
                              <w:t>En la gráfica se observa la</w:t>
                            </w:r>
                            <w:r>
                              <w:rPr>
                                <w:rFonts w:ascii="Arial" w:hAnsi="Arial" w:cs="Arial"/>
                              </w:rPr>
                              <w:t xml:space="preserve"> tendencia que traen los pasi</w:t>
                            </w:r>
                            <w:r w:rsidR="001F334E">
                              <w:rPr>
                                <w:rFonts w:ascii="Arial" w:hAnsi="Arial" w:cs="Arial"/>
                              </w:rPr>
                              <w:t>vos totales  desde marzo de 2009, hasta marzo de 2013. Desde entonces se han incrementado en un 41.7</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28" type="#_x0000_t202" style="position:absolute;left:0;text-align:left;margin-left:348.15pt;margin-top:.1pt;width:100.75pt;height:21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" filled="f" stroked="f">
                <v:textbox>
                  <w:txbxContent>
                    <w:p w:rsidR="00062B48" w:rsidRPr="00A05FDC" w:rsidRDefault="00062B48" w:rsidP="00C32225">
                      <w:pPr>
                        <w:jc w:val="both"/>
                        <w:rPr>
                          <w:rFonts w:ascii="Arial" w:hAnsi="Arial" w:cs="Arial"/>
                        </w:rPr>
                      </w:pPr>
                      <w:r w:rsidRPr="00A05FDC">
                        <w:rPr>
                          <w:rFonts w:ascii="Arial" w:hAnsi="Arial" w:cs="Arial"/>
                        </w:rPr>
                        <w:t>En la gráfica se observa la</w:t>
                      </w:r>
                      <w:r>
                        <w:rPr>
                          <w:rFonts w:ascii="Arial" w:hAnsi="Arial" w:cs="Arial"/>
                        </w:rPr>
                        <w:t xml:space="preserve"> tendencia que traen los pasi</w:t>
                      </w:r>
                      <w:r w:rsidR="001F334E">
                        <w:rPr>
                          <w:rFonts w:ascii="Arial" w:hAnsi="Arial" w:cs="Arial"/>
                        </w:rPr>
                        <w:t>vos totales  desde marzo de 2009, hasta marzo de 2013. Desde entonces se han incrementado en un 41.7</w:t>
                      </w:r>
                      <w:r>
                        <w:rPr>
                          <w:rFonts w:ascii="Arial" w:hAnsi="Arial" w:cs="Arial"/>
                        </w:rPr>
                        <w:t>%</w:t>
                      </w:r>
                    </w:p>
                  </w:txbxContent>
                </v:textbox>
              </v:shape>
            </w:pict>
          </mc:Fallback>
        </mc:AlternateContent>
      </w:r>
      <w:r>
        <w:rPr>
          <w:noProof/>
          <w:lang w:val="es-CO" w:eastAsia="es-CO"/>
        </w:rPr>
        <w:drawing>
          <wp:inline distT="0" distB="0" distL="0" distR="0" wp14:anchorId="45C72A28" wp14:editId="04A92876">
            <wp:extent cx="4221480" cy="2726690"/>
            <wp:effectExtent l="0" t="0" r="26670" b="1651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2225" w:rsidRPr="00931DDE" w:rsidRDefault="00C32225" w:rsidP="00C32225">
      <w:pPr>
        <w:pStyle w:val="Epgrafe"/>
        <w:jc w:val="both"/>
        <w:rPr>
          <w:rFonts w:ascii="Arial" w:hAnsi="Arial" w:cs="Arial"/>
          <w:sz w:val="24"/>
          <w:szCs w:val="24"/>
        </w:rPr>
      </w:pPr>
      <w:r w:rsidRPr="00A05FDC">
        <w:rPr>
          <w:rFonts w:ascii="Arial" w:hAnsi="Arial" w:cs="Arial"/>
          <w:sz w:val="12"/>
          <w:szCs w:val="12"/>
        </w:rPr>
        <w:t>Tendencia de los pasivos. Miles de pesos</w:t>
      </w:r>
    </w:p>
    <w:p w:rsidR="00C32225" w:rsidRDefault="00C32225" w:rsidP="00C32225">
      <w:pPr>
        <w:jc w:val="both"/>
        <w:rPr>
          <w:rFonts w:ascii="Arial" w:hAnsi="Arial" w:cs="Arial"/>
        </w:rPr>
      </w:pPr>
    </w:p>
    <w:p w:rsidR="00895AF9" w:rsidRDefault="00895AF9" w:rsidP="00C32225">
      <w:pPr>
        <w:jc w:val="both"/>
        <w:rPr>
          <w:rFonts w:ascii="Arial" w:hAnsi="Arial" w:cs="Arial"/>
        </w:rPr>
      </w:pPr>
    </w:p>
    <w:p w:rsidR="00895AF9" w:rsidRDefault="00895AF9" w:rsidP="00C32225">
      <w:pPr>
        <w:jc w:val="both"/>
        <w:rPr>
          <w:rFonts w:ascii="Arial" w:hAnsi="Arial" w:cs="Arial"/>
        </w:rPr>
      </w:pPr>
    </w:p>
    <w:p w:rsidR="00C32225" w:rsidRPr="009E7328" w:rsidRDefault="00C32225" w:rsidP="00C32225">
      <w:pPr>
        <w:jc w:val="both"/>
        <w:rPr>
          <w:rFonts w:ascii="Arial" w:hAnsi="Arial" w:cs="Arial"/>
        </w:rPr>
      </w:pPr>
      <w:r w:rsidRPr="002714A0">
        <w:rPr>
          <w:rFonts w:ascii="Arial" w:hAnsi="Arial" w:cs="Arial"/>
        </w:rPr>
        <w:t>1.2.1 PASIVOS CORRIENTES:</w:t>
      </w:r>
    </w:p>
    <w:p w:rsidR="00C32225" w:rsidRDefault="00C32225" w:rsidP="00C32225">
      <w:pPr>
        <w:jc w:val="both"/>
        <w:rPr>
          <w:rFonts w:ascii="Arial" w:hAnsi="Arial" w:cs="Arial"/>
        </w:rPr>
      </w:pPr>
    </w:p>
    <w:p w:rsidR="00C32225" w:rsidRPr="009E7328" w:rsidRDefault="00C32225" w:rsidP="00C32225">
      <w:pPr>
        <w:jc w:val="both"/>
        <w:rPr>
          <w:rFonts w:ascii="Arial" w:hAnsi="Arial" w:cs="Arial"/>
        </w:rPr>
      </w:pPr>
      <w:r w:rsidRPr="009E7328">
        <w:rPr>
          <w:rFonts w:ascii="Arial" w:hAnsi="Arial" w:cs="Arial"/>
        </w:rPr>
        <w:t xml:space="preserve">Representa las exigibilidades inmediatas a cargo del Departamento y se espera que su plazo de cancelación no sea superior a un periodo </w:t>
      </w:r>
      <w:r>
        <w:rPr>
          <w:rFonts w:ascii="Arial" w:hAnsi="Arial" w:cs="Arial"/>
        </w:rPr>
        <w:t>anual. Este grupo c</w:t>
      </w:r>
      <w:r w:rsidR="00480719">
        <w:rPr>
          <w:rFonts w:ascii="Arial" w:hAnsi="Arial" w:cs="Arial"/>
        </w:rPr>
        <w:t xml:space="preserve">erró con </w:t>
      </w:r>
      <w:r w:rsidR="00CF7218">
        <w:rPr>
          <w:rFonts w:ascii="Arial" w:hAnsi="Arial" w:cs="Arial"/>
        </w:rPr>
        <w:t>un saldo de $14.3</w:t>
      </w:r>
      <w:r w:rsidR="00480719">
        <w:rPr>
          <w:rFonts w:ascii="Arial" w:hAnsi="Arial" w:cs="Arial"/>
        </w:rPr>
        <w:t>80.845</w:t>
      </w:r>
      <w:r w:rsidRPr="009E7328">
        <w:rPr>
          <w:rFonts w:ascii="Arial" w:hAnsi="Arial" w:cs="Arial"/>
        </w:rPr>
        <w:t xml:space="preserve"> </w:t>
      </w:r>
      <w:r w:rsidR="00CF7218">
        <w:rPr>
          <w:rFonts w:ascii="Arial" w:hAnsi="Arial" w:cs="Arial"/>
        </w:rPr>
        <w:t>y corresponde al 12.4</w:t>
      </w:r>
      <w:r>
        <w:rPr>
          <w:rFonts w:ascii="Arial" w:hAnsi="Arial" w:cs="Arial"/>
        </w:rPr>
        <w:t>% del total de las obligaciones existentes. El pasivo corriente presentó</w:t>
      </w:r>
      <w:r w:rsidR="00480719">
        <w:rPr>
          <w:rFonts w:ascii="Arial" w:hAnsi="Arial" w:cs="Arial"/>
        </w:rPr>
        <w:t xml:space="preserve"> un aumento</w:t>
      </w:r>
      <w:r w:rsidRPr="009E7328">
        <w:rPr>
          <w:rFonts w:ascii="Arial" w:hAnsi="Arial" w:cs="Arial"/>
        </w:rPr>
        <w:t xml:space="preserve"> con respecto al periodo an</w:t>
      </w:r>
      <w:r w:rsidR="00CF7218">
        <w:rPr>
          <w:rFonts w:ascii="Arial" w:hAnsi="Arial" w:cs="Arial"/>
        </w:rPr>
        <w:t>terior en un porcentaje de  9</w:t>
      </w:r>
      <w:r w:rsidRPr="009E7328">
        <w:rPr>
          <w:rFonts w:ascii="Arial" w:hAnsi="Arial" w:cs="Arial"/>
        </w:rPr>
        <w:t xml:space="preserve">%. Este grupo se haya distribuido así: </w:t>
      </w:r>
    </w:p>
    <w:p w:rsidR="00C32225" w:rsidRDefault="00784A19" w:rsidP="00C32225">
      <w:pPr>
        <w:jc w:val="both"/>
        <w:rPr>
          <w:rFonts w:ascii="Arial" w:hAnsi="Arial" w:cs="Arial"/>
          <w:sz w:val="20"/>
          <w:szCs w:val="20"/>
        </w:rPr>
      </w:pPr>
      <w:r>
        <w:rPr>
          <w:rFonts w:ascii="Arial" w:hAnsi="Arial" w:cs="Arial"/>
          <w:noProof/>
          <w:lang w:val="es-CO" w:eastAsia="es-CO"/>
        </w:rPr>
        <mc:AlternateContent>
          <mc:Choice Requires="wps">
            <w:drawing>
              <wp:anchor distT="0" distB="0" distL="114300" distR="114300" simplePos="0" relativeHeight="251663872" behindDoc="0" locked="0" layoutInCell="1" allowOverlap="1" wp14:anchorId="23EA7D6E" wp14:editId="75DA9EE1">
                <wp:simplePos x="0" y="0"/>
                <wp:positionH relativeFrom="column">
                  <wp:posOffset>4223385</wp:posOffset>
                </wp:positionH>
                <wp:positionV relativeFrom="paragraph">
                  <wp:posOffset>129540</wp:posOffset>
                </wp:positionV>
                <wp:extent cx="1727200" cy="2011680"/>
                <wp:effectExtent l="0" t="0" r="0" b="7620"/>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A19" w:rsidRPr="00784A19" w:rsidRDefault="00784A19" w:rsidP="00784A19">
                            <w:pPr>
                              <w:jc w:val="both"/>
                              <w:rPr>
                                <w:rFonts w:ascii="Arial" w:hAnsi="Arial" w:cs="Arial"/>
                                <w:lang w:val="es-CO"/>
                              </w:rPr>
                            </w:pPr>
                            <w:r>
                              <w:rPr>
                                <w:rFonts w:ascii="Arial" w:hAnsi="Arial" w:cs="Arial"/>
                                <w:lang w:val="es-CO"/>
                              </w:rPr>
                              <w:t>La relación activos corrientes a pasivo de corto plazo al cierre de marzo de 2013 es de 10.4. Esta relación está soportada por el peso de los recursos de la reserva financiera actuarial y los recursos en fideicomiso del PDA.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2.55pt;margin-top:10.2pt;width:136pt;height:15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IjugIAAMM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" filled="f" stroked="f">
                <v:textbox>
                  <w:txbxContent>
                    <w:p w:rsidR="00784A19" w:rsidRPr="00784A19" w:rsidRDefault="00784A19" w:rsidP="00784A19">
                      <w:pPr>
                        <w:jc w:val="both"/>
                        <w:rPr>
                          <w:rFonts w:ascii="Arial" w:hAnsi="Arial" w:cs="Arial"/>
                          <w:lang w:val="es-CO"/>
                        </w:rPr>
                      </w:pPr>
                      <w:r>
                        <w:rPr>
                          <w:rFonts w:ascii="Arial" w:hAnsi="Arial" w:cs="Arial"/>
                          <w:lang w:val="es-CO"/>
                        </w:rPr>
                        <w:t>La relación activos corrientes a pasivo de corto plazo al cierre de marzo de 2013 es de 10.4. Esta relación está soportada por el peso de los recursos de la reserva financiera actuarial y los recursos en fideicomiso del PDA.</w:t>
                      </w:r>
                    </w:p>
                  </w:txbxContent>
                </v:textbox>
              </v:shape>
            </w:pict>
          </mc:Fallback>
        </mc:AlternateContent>
      </w:r>
    </w:p>
    <w:p w:rsidR="001F334E" w:rsidRDefault="001F334E" w:rsidP="00774EA3">
      <w:pPr>
        <w:jc w:val="both"/>
        <w:rPr>
          <w:rFonts w:ascii="Arial" w:hAnsi="Arial" w:cs="Arial"/>
          <w:sz w:val="20"/>
          <w:szCs w:val="20"/>
        </w:rPr>
      </w:pPr>
      <w:r>
        <w:rPr>
          <w:noProof/>
          <w:lang w:val="es-CO" w:eastAsia="es-CO"/>
        </w:rPr>
        <w:drawing>
          <wp:inline distT="0" distB="0" distL="0" distR="0" wp14:anchorId="547548A1" wp14:editId="32701930">
            <wp:extent cx="4053840" cy="1973580"/>
            <wp:effectExtent l="0" t="0" r="22860" b="2667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334E" w:rsidRDefault="001F334E" w:rsidP="00774EA3">
      <w:pPr>
        <w:jc w:val="both"/>
        <w:rPr>
          <w:rFonts w:ascii="Arial" w:hAnsi="Arial" w:cs="Arial"/>
          <w:sz w:val="20"/>
          <w:szCs w:val="20"/>
        </w:rPr>
      </w:pPr>
    </w:p>
    <w:p w:rsidR="001F334E" w:rsidRDefault="0044319A" w:rsidP="00774EA3">
      <w:pPr>
        <w:jc w:val="both"/>
        <w:rPr>
          <w:rFonts w:ascii="Arial" w:hAnsi="Arial" w:cs="Arial"/>
          <w:sz w:val="20"/>
          <w:szCs w:val="20"/>
        </w:rPr>
      </w:pPr>
      <w:r>
        <w:rPr>
          <w:noProof/>
          <w:lang w:val="es-CO" w:eastAsia="es-CO"/>
        </w:rPr>
        <w:drawing>
          <wp:inline distT="0" distB="0" distL="0" distR="0" wp14:anchorId="682AFCD2" wp14:editId="1C78F7BE">
            <wp:extent cx="5554980" cy="2743200"/>
            <wp:effectExtent l="57150" t="0" r="64770" b="11430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4EA3" w:rsidRDefault="00774EA3" w:rsidP="00C32225">
      <w:pPr>
        <w:jc w:val="both"/>
        <w:rPr>
          <w:rFonts w:ascii="Arial" w:hAnsi="Arial" w:cs="Arial"/>
          <w:sz w:val="20"/>
          <w:szCs w:val="20"/>
        </w:rPr>
      </w:pPr>
    </w:p>
    <w:p w:rsidR="0044319A" w:rsidRDefault="0044319A" w:rsidP="00C32225">
      <w:pPr>
        <w:jc w:val="both"/>
        <w:rPr>
          <w:rFonts w:ascii="Arial" w:hAnsi="Arial" w:cs="Arial"/>
        </w:rPr>
      </w:pPr>
    </w:p>
    <w:p w:rsidR="00C32225" w:rsidRDefault="00C32225" w:rsidP="00C32225">
      <w:pPr>
        <w:jc w:val="center"/>
        <w:rPr>
          <w:rFonts w:ascii="Arial" w:hAnsi="Arial" w:cs="Arial"/>
          <w:sz w:val="16"/>
          <w:szCs w:val="16"/>
        </w:rPr>
      </w:pPr>
    </w:p>
    <w:p w:rsidR="003C20A1" w:rsidRDefault="003C20A1" w:rsidP="00C32225">
      <w:pPr>
        <w:jc w:val="center"/>
        <w:rPr>
          <w:rFonts w:ascii="Arial" w:hAnsi="Arial" w:cs="Arial"/>
          <w:sz w:val="16"/>
          <w:szCs w:val="16"/>
        </w:rPr>
      </w:pPr>
    </w:p>
    <w:p w:rsidR="00C32225" w:rsidRPr="008B028C" w:rsidRDefault="00C32225" w:rsidP="00C32225">
      <w:pPr>
        <w:jc w:val="center"/>
        <w:rPr>
          <w:rFonts w:ascii="Arial" w:hAnsi="Arial" w:cs="Arial"/>
          <w:b/>
        </w:rPr>
      </w:pPr>
      <w:r w:rsidRPr="008B028C">
        <w:rPr>
          <w:rFonts w:ascii="Arial" w:hAnsi="Arial" w:cs="Arial"/>
          <w:b/>
        </w:rPr>
        <w:t>2. EL ESTADO DE ACTIVIDAD FINANCIERA, ECONÓMICA Y SOCIAL</w:t>
      </w:r>
    </w:p>
    <w:p w:rsidR="00C32225" w:rsidRDefault="0020017B" w:rsidP="00C32225">
      <w:pPr>
        <w:jc w:val="center"/>
        <w:rPr>
          <w:rFonts w:ascii="Arial" w:hAnsi="Arial" w:cs="Arial"/>
          <w:sz w:val="20"/>
          <w:szCs w:val="20"/>
        </w:rPr>
      </w:pPr>
      <w:r>
        <w:rPr>
          <w:rFonts w:ascii="Arial" w:hAnsi="Arial" w:cs="Arial"/>
          <w:sz w:val="20"/>
          <w:szCs w:val="20"/>
        </w:rPr>
        <w:t>Cifras en millones</w:t>
      </w:r>
    </w:p>
    <w:p w:rsidR="003C20A1" w:rsidRPr="009E7328" w:rsidRDefault="003C20A1" w:rsidP="00C32225">
      <w:pPr>
        <w:jc w:val="center"/>
        <w:rPr>
          <w:rFonts w:ascii="Arial" w:hAnsi="Arial" w:cs="Arial"/>
          <w:sz w:val="20"/>
          <w:szCs w:val="20"/>
        </w:rPr>
      </w:pPr>
    </w:p>
    <w:tbl>
      <w:tblPr>
        <w:tblStyle w:val="Listavistosa-nfasis1"/>
        <w:tblW w:w="0" w:type="auto"/>
        <w:jc w:val="center"/>
        <w:tblLook w:val="01E0" w:firstRow="1" w:lastRow="1" w:firstColumn="1" w:lastColumn="1" w:noHBand="0" w:noVBand="0"/>
      </w:tblPr>
      <w:tblGrid>
        <w:gridCol w:w="2761"/>
        <w:gridCol w:w="992"/>
        <w:gridCol w:w="992"/>
        <w:gridCol w:w="1041"/>
        <w:gridCol w:w="1001"/>
        <w:gridCol w:w="1001"/>
      </w:tblGrid>
      <w:tr w:rsidR="0044319A" w:rsidRPr="00381CE3" w:rsidTr="002001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1" w:type="dxa"/>
          </w:tcPr>
          <w:p w:rsidR="0044319A" w:rsidRPr="00381CE3" w:rsidRDefault="0044319A" w:rsidP="0014341C">
            <w:pPr>
              <w:jc w:val="center"/>
              <w:rPr>
                <w:rFonts w:ascii="Arial" w:hAnsi="Arial" w:cs="Arial"/>
                <w:b w:val="0"/>
                <w:bCs w:val="0"/>
                <w:color w:val="FFFFFF"/>
                <w:sz w:val="14"/>
                <w:szCs w:val="14"/>
              </w:rPr>
            </w:pPr>
            <w:r w:rsidRPr="00381CE3">
              <w:rPr>
                <w:rFonts w:ascii="Arial" w:hAnsi="Arial" w:cs="Arial"/>
                <w:color w:val="FFFFFF"/>
                <w:sz w:val="14"/>
                <w:szCs w:val="14"/>
              </w:rPr>
              <w:t>GRUPOS</w:t>
            </w:r>
          </w:p>
        </w:tc>
        <w:tc>
          <w:tcPr>
            <w:cnfStyle w:val="000010000000" w:firstRow="0" w:lastRow="0" w:firstColumn="0" w:lastColumn="0" w:oddVBand="1" w:evenVBand="0" w:oddHBand="0" w:evenHBand="0" w:firstRowFirstColumn="0" w:firstRowLastColumn="0" w:lastRowFirstColumn="0" w:lastRowLastColumn="0"/>
            <w:tcW w:w="992" w:type="dxa"/>
          </w:tcPr>
          <w:p w:rsidR="0044319A" w:rsidRPr="00381CE3" w:rsidRDefault="0044319A" w:rsidP="0014341C">
            <w:pPr>
              <w:jc w:val="center"/>
              <w:rPr>
                <w:rFonts w:ascii="Arial" w:hAnsi="Arial" w:cs="Arial"/>
                <w:b w:val="0"/>
                <w:bCs w:val="0"/>
                <w:color w:val="FFFFFF"/>
                <w:sz w:val="14"/>
                <w:szCs w:val="14"/>
              </w:rPr>
            </w:pPr>
            <w:r>
              <w:rPr>
                <w:rFonts w:ascii="Arial" w:hAnsi="Arial" w:cs="Arial"/>
                <w:b w:val="0"/>
                <w:bCs w:val="0"/>
                <w:color w:val="FFFFFF"/>
                <w:sz w:val="14"/>
                <w:szCs w:val="14"/>
              </w:rPr>
              <w:t>MARZO 2013</w:t>
            </w:r>
          </w:p>
        </w:tc>
        <w:tc>
          <w:tcPr>
            <w:tcW w:w="992" w:type="dxa"/>
          </w:tcPr>
          <w:p w:rsidR="0044319A" w:rsidRPr="00381CE3" w:rsidRDefault="0044319A" w:rsidP="001434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4"/>
                <w:szCs w:val="14"/>
              </w:rPr>
            </w:pPr>
            <w:r>
              <w:rPr>
                <w:rFonts w:ascii="Arial" w:hAnsi="Arial" w:cs="Arial"/>
                <w:b w:val="0"/>
                <w:bCs w:val="0"/>
                <w:color w:val="FFFFFF"/>
                <w:sz w:val="14"/>
                <w:szCs w:val="14"/>
              </w:rPr>
              <w:t>MARZO 201</w:t>
            </w:r>
            <w:r>
              <w:rPr>
                <w:rFonts w:ascii="Arial" w:hAnsi="Arial" w:cs="Arial"/>
                <w:b w:val="0"/>
                <w:bCs w:val="0"/>
                <w:color w:val="FFFFFF"/>
                <w:sz w:val="14"/>
                <w:szCs w:val="14"/>
              </w:rPr>
              <w:t>2</w:t>
            </w:r>
          </w:p>
        </w:tc>
        <w:tc>
          <w:tcPr>
            <w:cnfStyle w:val="000010000000" w:firstRow="0" w:lastRow="0" w:firstColumn="0" w:lastColumn="0" w:oddVBand="1" w:evenVBand="0" w:oddHBand="0" w:evenHBand="0" w:firstRowFirstColumn="0" w:firstRowLastColumn="0" w:lastRowFirstColumn="0" w:lastRowLastColumn="0"/>
            <w:tcW w:w="1041" w:type="dxa"/>
          </w:tcPr>
          <w:p w:rsidR="0044319A" w:rsidRPr="00381CE3" w:rsidRDefault="0044319A" w:rsidP="0044319A">
            <w:pPr>
              <w:jc w:val="center"/>
              <w:rPr>
                <w:rFonts w:ascii="Arial" w:hAnsi="Arial" w:cs="Arial"/>
                <w:b w:val="0"/>
                <w:bCs w:val="0"/>
                <w:color w:val="FFFFFF"/>
                <w:sz w:val="14"/>
                <w:szCs w:val="14"/>
              </w:rPr>
            </w:pPr>
            <w:r>
              <w:rPr>
                <w:rFonts w:ascii="Arial" w:hAnsi="Arial" w:cs="Arial"/>
                <w:b w:val="0"/>
                <w:bCs w:val="0"/>
                <w:color w:val="FFFFFF"/>
                <w:sz w:val="14"/>
                <w:szCs w:val="14"/>
              </w:rPr>
              <w:t>Aumento o disminución</w:t>
            </w:r>
          </w:p>
        </w:tc>
        <w:tc>
          <w:tcPr>
            <w:tcW w:w="1001" w:type="dxa"/>
          </w:tcPr>
          <w:p w:rsidR="0044319A" w:rsidRPr="00381CE3" w:rsidRDefault="0044319A" w:rsidP="001434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4"/>
                <w:szCs w:val="14"/>
              </w:rPr>
            </w:pPr>
            <w:r>
              <w:rPr>
                <w:rFonts w:ascii="Arial" w:hAnsi="Arial" w:cs="Arial"/>
                <w:b w:val="0"/>
                <w:bCs w:val="0"/>
                <w:color w:val="FFFFFF"/>
                <w:sz w:val="14"/>
                <w:szCs w:val="14"/>
              </w:rPr>
              <w:t>MARZO 20</w:t>
            </w:r>
            <w:r>
              <w:rPr>
                <w:rFonts w:ascii="Arial" w:hAnsi="Arial" w:cs="Arial"/>
                <w:b w:val="0"/>
                <w:bCs w:val="0"/>
                <w:color w:val="FFFFFF"/>
                <w:sz w:val="14"/>
                <w:szCs w:val="14"/>
              </w:rPr>
              <w:t>09</w:t>
            </w:r>
          </w:p>
        </w:tc>
        <w:tc>
          <w:tcPr>
            <w:cnfStyle w:val="000100000000" w:firstRow="0" w:lastRow="0" w:firstColumn="0" w:lastColumn="1" w:oddVBand="0" w:evenVBand="0" w:oddHBand="0" w:evenHBand="0" w:firstRowFirstColumn="0" w:firstRowLastColumn="0" w:lastRowFirstColumn="0" w:lastRowLastColumn="0"/>
            <w:tcW w:w="1001" w:type="dxa"/>
          </w:tcPr>
          <w:p w:rsidR="0044319A" w:rsidRPr="00381CE3" w:rsidRDefault="0044319A" w:rsidP="00D41F74">
            <w:pPr>
              <w:jc w:val="center"/>
              <w:rPr>
                <w:rFonts w:ascii="Arial" w:hAnsi="Arial" w:cs="Arial"/>
                <w:b w:val="0"/>
                <w:bCs w:val="0"/>
                <w:color w:val="FFFFFF"/>
                <w:sz w:val="14"/>
                <w:szCs w:val="14"/>
              </w:rPr>
            </w:pPr>
            <w:r>
              <w:rPr>
                <w:rFonts w:ascii="Arial" w:hAnsi="Arial" w:cs="Arial"/>
                <w:b w:val="0"/>
                <w:bCs w:val="0"/>
                <w:color w:val="FFFFFF"/>
                <w:sz w:val="14"/>
                <w:szCs w:val="14"/>
              </w:rPr>
              <w:t>Aumento o disminución</w:t>
            </w:r>
          </w:p>
        </w:tc>
      </w:tr>
      <w:tr w:rsidR="0044319A" w:rsidRPr="00381CE3" w:rsidTr="00200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1" w:type="dxa"/>
          </w:tcPr>
          <w:p w:rsidR="0044319A" w:rsidRPr="00381CE3" w:rsidRDefault="0044319A" w:rsidP="0014341C">
            <w:pPr>
              <w:rPr>
                <w:rFonts w:ascii="Arial" w:hAnsi="Arial" w:cs="Arial"/>
                <w:b w:val="0"/>
                <w:bCs w:val="0"/>
                <w:sz w:val="14"/>
                <w:szCs w:val="14"/>
              </w:rPr>
            </w:pPr>
            <w:r w:rsidRPr="00381CE3">
              <w:rPr>
                <w:rFonts w:ascii="Arial" w:hAnsi="Arial" w:cs="Arial"/>
                <w:sz w:val="14"/>
                <w:szCs w:val="14"/>
              </w:rPr>
              <w:t>Ingresos operacionales</w:t>
            </w:r>
          </w:p>
        </w:tc>
        <w:tc>
          <w:tcPr>
            <w:cnfStyle w:val="000010000000" w:firstRow="0" w:lastRow="0" w:firstColumn="0" w:lastColumn="0" w:oddVBand="1" w:evenVBand="0" w:oddHBand="0" w:evenHBand="0" w:firstRowFirstColumn="0" w:firstRowLastColumn="0" w:lastRowFirstColumn="0" w:lastRowLastColumn="0"/>
            <w:tcW w:w="992" w:type="dxa"/>
          </w:tcPr>
          <w:p w:rsidR="0044319A" w:rsidRPr="00381CE3" w:rsidRDefault="00EE2F9B" w:rsidP="0014341C">
            <w:pPr>
              <w:jc w:val="right"/>
              <w:rPr>
                <w:rFonts w:ascii="Arial" w:hAnsi="Arial" w:cs="Arial"/>
                <w:sz w:val="14"/>
                <w:szCs w:val="14"/>
              </w:rPr>
            </w:pPr>
            <w:r>
              <w:rPr>
                <w:rFonts w:ascii="Arial" w:hAnsi="Arial" w:cs="Arial"/>
                <w:sz w:val="14"/>
                <w:szCs w:val="14"/>
              </w:rPr>
              <w:t>77.780</w:t>
            </w:r>
          </w:p>
        </w:tc>
        <w:tc>
          <w:tcPr>
            <w:tcW w:w="992" w:type="dxa"/>
          </w:tcPr>
          <w:p w:rsidR="0044319A" w:rsidRPr="00381CE3" w:rsidRDefault="00EE2F9B" w:rsidP="0014341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73.091</w:t>
            </w:r>
          </w:p>
        </w:tc>
        <w:tc>
          <w:tcPr>
            <w:cnfStyle w:val="000010000000" w:firstRow="0" w:lastRow="0" w:firstColumn="0" w:lastColumn="0" w:oddVBand="1" w:evenVBand="0" w:oddHBand="0" w:evenHBand="0" w:firstRowFirstColumn="0" w:firstRowLastColumn="0" w:lastRowFirstColumn="0" w:lastRowLastColumn="0"/>
            <w:tcW w:w="1041" w:type="dxa"/>
          </w:tcPr>
          <w:p w:rsidR="0044319A" w:rsidRPr="00381CE3" w:rsidRDefault="00EE2F9B" w:rsidP="0014341C">
            <w:pPr>
              <w:jc w:val="right"/>
              <w:rPr>
                <w:rFonts w:ascii="Arial" w:hAnsi="Arial" w:cs="Arial"/>
                <w:sz w:val="14"/>
                <w:szCs w:val="14"/>
              </w:rPr>
            </w:pPr>
            <w:r>
              <w:rPr>
                <w:rFonts w:ascii="Arial" w:hAnsi="Arial" w:cs="Arial"/>
                <w:sz w:val="14"/>
                <w:szCs w:val="14"/>
              </w:rPr>
              <w:t>6.0%</w:t>
            </w:r>
          </w:p>
        </w:tc>
        <w:tc>
          <w:tcPr>
            <w:tcW w:w="1001" w:type="dxa"/>
          </w:tcPr>
          <w:p w:rsidR="0044319A" w:rsidRPr="00381CE3" w:rsidRDefault="00EE2F9B" w:rsidP="0014341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
                <w:bCs/>
                <w:sz w:val="14"/>
                <w:szCs w:val="14"/>
              </w:rPr>
              <w:t>34.921</w:t>
            </w:r>
          </w:p>
        </w:tc>
        <w:tc>
          <w:tcPr>
            <w:cnfStyle w:val="000100000000" w:firstRow="0" w:lastRow="0" w:firstColumn="0" w:lastColumn="1" w:oddVBand="0" w:evenVBand="0" w:oddHBand="0" w:evenHBand="0" w:firstRowFirstColumn="0" w:firstRowLastColumn="0" w:lastRowFirstColumn="0" w:lastRowLastColumn="0"/>
            <w:tcW w:w="1001" w:type="dxa"/>
          </w:tcPr>
          <w:p w:rsidR="0044319A" w:rsidRPr="00381CE3" w:rsidRDefault="00EE2F9B" w:rsidP="0014341C">
            <w:pPr>
              <w:jc w:val="center"/>
              <w:rPr>
                <w:rFonts w:ascii="Arial" w:hAnsi="Arial" w:cs="Arial"/>
                <w:bCs w:val="0"/>
                <w:sz w:val="14"/>
                <w:szCs w:val="14"/>
              </w:rPr>
            </w:pPr>
            <w:r>
              <w:rPr>
                <w:rFonts w:ascii="Arial" w:hAnsi="Arial" w:cs="Arial"/>
                <w:bCs w:val="0"/>
                <w:sz w:val="14"/>
                <w:szCs w:val="14"/>
              </w:rPr>
              <w:t>122.7%</w:t>
            </w:r>
          </w:p>
        </w:tc>
      </w:tr>
      <w:tr w:rsidR="0044319A" w:rsidRPr="00381CE3" w:rsidTr="0020017B">
        <w:trPr>
          <w:jc w:val="center"/>
        </w:trPr>
        <w:tc>
          <w:tcPr>
            <w:cnfStyle w:val="001000000000" w:firstRow="0" w:lastRow="0" w:firstColumn="1" w:lastColumn="0" w:oddVBand="0" w:evenVBand="0" w:oddHBand="0" w:evenHBand="0" w:firstRowFirstColumn="0" w:firstRowLastColumn="0" w:lastRowFirstColumn="0" w:lastRowLastColumn="0"/>
            <w:tcW w:w="2761" w:type="dxa"/>
          </w:tcPr>
          <w:p w:rsidR="0044319A" w:rsidRPr="00381CE3" w:rsidRDefault="0044319A" w:rsidP="0014341C">
            <w:pPr>
              <w:rPr>
                <w:rFonts w:ascii="Arial" w:hAnsi="Arial" w:cs="Arial"/>
                <w:b w:val="0"/>
                <w:bCs w:val="0"/>
                <w:sz w:val="14"/>
                <w:szCs w:val="14"/>
              </w:rPr>
            </w:pPr>
            <w:r w:rsidRPr="00381CE3">
              <w:rPr>
                <w:rFonts w:ascii="Arial" w:hAnsi="Arial" w:cs="Arial"/>
                <w:sz w:val="14"/>
                <w:szCs w:val="14"/>
              </w:rPr>
              <w:t>Gastos de operación</w:t>
            </w:r>
          </w:p>
        </w:tc>
        <w:tc>
          <w:tcPr>
            <w:cnfStyle w:val="000010000000" w:firstRow="0" w:lastRow="0" w:firstColumn="0" w:lastColumn="0" w:oddVBand="1" w:evenVBand="0" w:oddHBand="0" w:evenHBand="0" w:firstRowFirstColumn="0" w:firstRowLastColumn="0" w:lastRowFirstColumn="0" w:lastRowLastColumn="0"/>
            <w:tcW w:w="992" w:type="dxa"/>
          </w:tcPr>
          <w:p w:rsidR="0044319A" w:rsidRPr="00381CE3" w:rsidRDefault="00EE2F9B" w:rsidP="0014341C">
            <w:pPr>
              <w:jc w:val="right"/>
              <w:rPr>
                <w:rFonts w:ascii="Arial" w:hAnsi="Arial" w:cs="Arial"/>
                <w:sz w:val="14"/>
                <w:szCs w:val="14"/>
              </w:rPr>
            </w:pPr>
            <w:r>
              <w:rPr>
                <w:rFonts w:ascii="Arial" w:hAnsi="Arial" w:cs="Arial"/>
                <w:sz w:val="14"/>
                <w:szCs w:val="14"/>
              </w:rPr>
              <w:t>29.667</w:t>
            </w:r>
          </w:p>
        </w:tc>
        <w:tc>
          <w:tcPr>
            <w:tcW w:w="992" w:type="dxa"/>
          </w:tcPr>
          <w:p w:rsidR="0044319A" w:rsidRPr="00381CE3" w:rsidRDefault="00EE2F9B" w:rsidP="0014341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21.188</w:t>
            </w:r>
          </w:p>
        </w:tc>
        <w:tc>
          <w:tcPr>
            <w:cnfStyle w:val="000010000000" w:firstRow="0" w:lastRow="0" w:firstColumn="0" w:lastColumn="0" w:oddVBand="1" w:evenVBand="0" w:oddHBand="0" w:evenHBand="0" w:firstRowFirstColumn="0" w:firstRowLastColumn="0" w:lastRowFirstColumn="0" w:lastRowLastColumn="0"/>
            <w:tcW w:w="1041" w:type="dxa"/>
          </w:tcPr>
          <w:p w:rsidR="0044319A" w:rsidRPr="00381CE3" w:rsidRDefault="00EE2F9B" w:rsidP="0014341C">
            <w:pPr>
              <w:jc w:val="right"/>
              <w:rPr>
                <w:rFonts w:ascii="Arial" w:hAnsi="Arial" w:cs="Arial"/>
                <w:sz w:val="14"/>
                <w:szCs w:val="14"/>
              </w:rPr>
            </w:pPr>
            <w:r>
              <w:rPr>
                <w:rFonts w:ascii="Arial" w:hAnsi="Arial" w:cs="Arial"/>
                <w:sz w:val="14"/>
                <w:szCs w:val="14"/>
              </w:rPr>
              <w:t>28.6%</w:t>
            </w:r>
          </w:p>
        </w:tc>
        <w:tc>
          <w:tcPr>
            <w:tcW w:w="1001" w:type="dxa"/>
          </w:tcPr>
          <w:p w:rsidR="0044319A" w:rsidRPr="00381CE3" w:rsidRDefault="00EE2F9B" w:rsidP="0014341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25.043</w:t>
            </w:r>
          </w:p>
        </w:tc>
        <w:tc>
          <w:tcPr>
            <w:cnfStyle w:val="000100000000" w:firstRow="0" w:lastRow="0" w:firstColumn="0" w:lastColumn="1" w:oddVBand="0" w:evenVBand="0" w:oddHBand="0" w:evenHBand="0" w:firstRowFirstColumn="0" w:firstRowLastColumn="0" w:lastRowFirstColumn="0" w:lastRowLastColumn="0"/>
            <w:tcW w:w="1001" w:type="dxa"/>
          </w:tcPr>
          <w:p w:rsidR="0044319A" w:rsidRPr="00381CE3" w:rsidRDefault="00EE2F9B" w:rsidP="0014341C">
            <w:pPr>
              <w:jc w:val="center"/>
              <w:rPr>
                <w:rFonts w:ascii="Arial" w:hAnsi="Arial" w:cs="Arial"/>
                <w:bCs w:val="0"/>
                <w:sz w:val="14"/>
                <w:szCs w:val="14"/>
              </w:rPr>
            </w:pPr>
            <w:r>
              <w:rPr>
                <w:rFonts w:ascii="Arial" w:hAnsi="Arial" w:cs="Arial"/>
                <w:bCs w:val="0"/>
                <w:sz w:val="14"/>
                <w:szCs w:val="14"/>
              </w:rPr>
              <w:t>18.5%</w:t>
            </w:r>
          </w:p>
        </w:tc>
      </w:tr>
      <w:tr w:rsidR="0044319A" w:rsidRPr="00381CE3" w:rsidTr="00200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1" w:type="dxa"/>
          </w:tcPr>
          <w:p w:rsidR="0044319A" w:rsidRPr="00381CE3" w:rsidRDefault="0044319A" w:rsidP="0014341C">
            <w:pPr>
              <w:rPr>
                <w:rFonts w:ascii="Arial" w:hAnsi="Arial" w:cs="Arial"/>
                <w:b w:val="0"/>
                <w:bCs w:val="0"/>
                <w:sz w:val="14"/>
                <w:szCs w:val="14"/>
              </w:rPr>
            </w:pPr>
            <w:r w:rsidRPr="00381CE3">
              <w:rPr>
                <w:rFonts w:ascii="Arial" w:hAnsi="Arial" w:cs="Arial"/>
                <w:sz w:val="14"/>
                <w:szCs w:val="14"/>
              </w:rPr>
              <w:t>Excedente / déficit operacional</w:t>
            </w:r>
          </w:p>
        </w:tc>
        <w:tc>
          <w:tcPr>
            <w:cnfStyle w:val="000010000000" w:firstRow="0" w:lastRow="0" w:firstColumn="0" w:lastColumn="0" w:oddVBand="1" w:evenVBand="0" w:oddHBand="0" w:evenHBand="0" w:firstRowFirstColumn="0" w:firstRowLastColumn="0" w:lastRowFirstColumn="0" w:lastRowLastColumn="0"/>
            <w:tcW w:w="992" w:type="dxa"/>
          </w:tcPr>
          <w:p w:rsidR="0044319A" w:rsidRPr="00381CE3" w:rsidRDefault="00EE2F9B" w:rsidP="0014341C">
            <w:pPr>
              <w:jc w:val="right"/>
              <w:rPr>
                <w:rFonts w:ascii="Arial" w:hAnsi="Arial" w:cs="Arial"/>
                <w:sz w:val="14"/>
                <w:szCs w:val="14"/>
              </w:rPr>
            </w:pPr>
            <w:r>
              <w:rPr>
                <w:rFonts w:ascii="Arial" w:hAnsi="Arial" w:cs="Arial"/>
                <w:sz w:val="14"/>
                <w:szCs w:val="14"/>
              </w:rPr>
              <w:t>48.113</w:t>
            </w:r>
          </w:p>
        </w:tc>
        <w:tc>
          <w:tcPr>
            <w:tcW w:w="992" w:type="dxa"/>
          </w:tcPr>
          <w:p w:rsidR="0044319A" w:rsidRPr="00381CE3" w:rsidRDefault="00EE2F9B" w:rsidP="0014341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51.903</w:t>
            </w:r>
          </w:p>
        </w:tc>
        <w:tc>
          <w:tcPr>
            <w:cnfStyle w:val="000010000000" w:firstRow="0" w:lastRow="0" w:firstColumn="0" w:lastColumn="0" w:oddVBand="1" w:evenVBand="0" w:oddHBand="0" w:evenHBand="0" w:firstRowFirstColumn="0" w:firstRowLastColumn="0" w:lastRowFirstColumn="0" w:lastRowLastColumn="0"/>
            <w:tcW w:w="1041" w:type="dxa"/>
          </w:tcPr>
          <w:p w:rsidR="0044319A" w:rsidRPr="00381CE3" w:rsidRDefault="00EE2F9B" w:rsidP="0014341C">
            <w:pPr>
              <w:jc w:val="right"/>
              <w:rPr>
                <w:rFonts w:ascii="Arial" w:hAnsi="Arial" w:cs="Arial"/>
                <w:sz w:val="14"/>
                <w:szCs w:val="14"/>
              </w:rPr>
            </w:pPr>
            <w:r>
              <w:rPr>
                <w:rFonts w:ascii="Arial" w:hAnsi="Arial" w:cs="Arial"/>
                <w:sz w:val="14"/>
                <w:szCs w:val="14"/>
              </w:rPr>
              <w:t>(7.9%)</w:t>
            </w:r>
          </w:p>
        </w:tc>
        <w:tc>
          <w:tcPr>
            <w:tcW w:w="1001" w:type="dxa"/>
          </w:tcPr>
          <w:p w:rsidR="0044319A" w:rsidRPr="00381CE3" w:rsidRDefault="00EE2F9B" w:rsidP="0014341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
                <w:bCs/>
                <w:sz w:val="14"/>
                <w:szCs w:val="14"/>
              </w:rPr>
              <w:t>9.878</w:t>
            </w:r>
          </w:p>
        </w:tc>
        <w:tc>
          <w:tcPr>
            <w:cnfStyle w:val="000100000000" w:firstRow="0" w:lastRow="0" w:firstColumn="0" w:lastColumn="1" w:oddVBand="0" w:evenVBand="0" w:oddHBand="0" w:evenHBand="0" w:firstRowFirstColumn="0" w:firstRowLastColumn="0" w:lastRowFirstColumn="0" w:lastRowLastColumn="0"/>
            <w:tcW w:w="1001" w:type="dxa"/>
          </w:tcPr>
          <w:p w:rsidR="0044319A" w:rsidRPr="00381CE3" w:rsidRDefault="00EE2F9B" w:rsidP="0014341C">
            <w:pPr>
              <w:jc w:val="center"/>
              <w:rPr>
                <w:rFonts w:ascii="Arial" w:hAnsi="Arial" w:cs="Arial"/>
                <w:bCs w:val="0"/>
                <w:sz w:val="14"/>
                <w:szCs w:val="14"/>
              </w:rPr>
            </w:pPr>
            <w:r>
              <w:rPr>
                <w:rFonts w:ascii="Arial" w:hAnsi="Arial" w:cs="Arial"/>
                <w:bCs w:val="0"/>
                <w:sz w:val="14"/>
                <w:szCs w:val="14"/>
              </w:rPr>
              <w:t>387.1%</w:t>
            </w:r>
          </w:p>
        </w:tc>
      </w:tr>
      <w:tr w:rsidR="0044319A" w:rsidRPr="00381CE3" w:rsidTr="0020017B">
        <w:trPr>
          <w:jc w:val="center"/>
        </w:trPr>
        <w:tc>
          <w:tcPr>
            <w:cnfStyle w:val="001000000000" w:firstRow="0" w:lastRow="0" w:firstColumn="1" w:lastColumn="0" w:oddVBand="0" w:evenVBand="0" w:oddHBand="0" w:evenHBand="0" w:firstRowFirstColumn="0" w:firstRowLastColumn="0" w:lastRowFirstColumn="0" w:lastRowLastColumn="0"/>
            <w:tcW w:w="2761" w:type="dxa"/>
          </w:tcPr>
          <w:p w:rsidR="0044319A" w:rsidRPr="00381CE3" w:rsidRDefault="0044319A" w:rsidP="0014341C">
            <w:pPr>
              <w:rPr>
                <w:rFonts w:ascii="Arial" w:hAnsi="Arial" w:cs="Arial"/>
                <w:b w:val="0"/>
                <w:bCs w:val="0"/>
                <w:sz w:val="14"/>
                <w:szCs w:val="14"/>
              </w:rPr>
            </w:pPr>
            <w:r w:rsidRPr="00381CE3">
              <w:rPr>
                <w:rFonts w:ascii="Arial" w:hAnsi="Arial" w:cs="Arial"/>
                <w:sz w:val="14"/>
                <w:szCs w:val="14"/>
              </w:rPr>
              <w:t>Otros ingresos</w:t>
            </w:r>
          </w:p>
        </w:tc>
        <w:tc>
          <w:tcPr>
            <w:cnfStyle w:val="000010000000" w:firstRow="0" w:lastRow="0" w:firstColumn="0" w:lastColumn="0" w:oddVBand="1" w:evenVBand="0" w:oddHBand="0" w:evenHBand="0" w:firstRowFirstColumn="0" w:firstRowLastColumn="0" w:lastRowFirstColumn="0" w:lastRowLastColumn="0"/>
            <w:tcW w:w="992" w:type="dxa"/>
          </w:tcPr>
          <w:p w:rsidR="0044319A" w:rsidRPr="00381CE3" w:rsidRDefault="00EE2F9B" w:rsidP="0014341C">
            <w:pPr>
              <w:jc w:val="right"/>
              <w:rPr>
                <w:rFonts w:ascii="Arial" w:hAnsi="Arial" w:cs="Arial"/>
                <w:sz w:val="14"/>
                <w:szCs w:val="14"/>
              </w:rPr>
            </w:pPr>
            <w:r>
              <w:rPr>
                <w:rFonts w:ascii="Arial" w:hAnsi="Arial" w:cs="Arial"/>
                <w:sz w:val="14"/>
                <w:szCs w:val="14"/>
              </w:rPr>
              <w:t>(592)</w:t>
            </w:r>
          </w:p>
        </w:tc>
        <w:tc>
          <w:tcPr>
            <w:tcW w:w="992" w:type="dxa"/>
          </w:tcPr>
          <w:p w:rsidR="0044319A" w:rsidRPr="00381CE3" w:rsidRDefault="00EE2F9B" w:rsidP="0014341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(903)</w:t>
            </w:r>
          </w:p>
        </w:tc>
        <w:tc>
          <w:tcPr>
            <w:cnfStyle w:val="000010000000" w:firstRow="0" w:lastRow="0" w:firstColumn="0" w:lastColumn="0" w:oddVBand="1" w:evenVBand="0" w:oddHBand="0" w:evenHBand="0" w:firstRowFirstColumn="0" w:firstRowLastColumn="0" w:lastRowFirstColumn="0" w:lastRowLastColumn="0"/>
            <w:tcW w:w="1041" w:type="dxa"/>
          </w:tcPr>
          <w:p w:rsidR="0044319A" w:rsidRPr="00381CE3" w:rsidRDefault="00EE2F9B" w:rsidP="0014341C">
            <w:pPr>
              <w:jc w:val="right"/>
              <w:rPr>
                <w:rFonts w:ascii="Arial" w:hAnsi="Arial" w:cs="Arial"/>
                <w:sz w:val="14"/>
                <w:szCs w:val="14"/>
              </w:rPr>
            </w:pPr>
            <w:r>
              <w:rPr>
                <w:rFonts w:ascii="Arial" w:hAnsi="Arial" w:cs="Arial"/>
                <w:sz w:val="14"/>
                <w:szCs w:val="14"/>
              </w:rPr>
              <w:t>(52.5%)</w:t>
            </w:r>
          </w:p>
        </w:tc>
        <w:tc>
          <w:tcPr>
            <w:tcW w:w="1001" w:type="dxa"/>
          </w:tcPr>
          <w:p w:rsidR="0044319A" w:rsidRPr="00381CE3" w:rsidRDefault="00EE2F9B" w:rsidP="0014341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7.054</w:t>
            </w:r>
          </w:p>
        </w:tc>
        <w:tc>
          <w:tcPr>
            <w:cnfStyle w:val="000100000000" w:firstRow="0" w:lastRow="0" w:firstColumn="0" w:lastColumn="1" w:oddVBand="0" w:evenVBand="0" w:oddHBand="0" w:evenHBand="0" w:firstRowFirstColumn="0" w:firstRowLastColumn="0" w:lastRowFirstColumn="0" w:lastRowLastColumn="0"/>
            <w:tcW w:w="1001" w:type="dxa"/>
          </w:tcPr>
          <w:p w:rsidR="0044319A" w:rsidRPr="00381CE3" w:rsidRDefault="00EE2F9B" w:rsidP="0014341C">
            <w:pPr>
              <w:jc w:val="center"/>
              <w:rPr>
                <w:rFonts w:ascii="Arial" w:hAnsi="Arial" w:cs="Arial"/>
                <w:bCs w:val="0"/>
                <w:sz w:val="14"/>
                <w:szCs w:val="14"/>
              </w:rPr>
            </w:pPr>
            <w:r>
              <w:rPr>
                <w:rFonts w:ascii="Arial" w:hAnsi="Arial" w:cs="Arial"/>
                <w:bCs w:val="0"/>
                <w:sz w:val="14"/>
                <w:szCs w:val="14"/>
              </w:rPr>
              <w:t>(108.4)</w:t>
            </w:r>
          </w:p>
        </w:tc>
      </w:tr>
      <w:tr w:rsidR="0044319A" w:rsidRPr="00381CE3" w:rsidTr="002001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1" w:type="dxa"/>
          </w:tcPr>
          <w:p w:rsidR="0044319A" w:rsidRPr="0020017B" w:rsidRDefault="0044319A" w:rsidP="0014341C">
            <w:pPr>
              <w:rPr>
                <w:rFonts w:ascii="Arial" w:hAnsi="Arial" w:cs="Arial"/>
                <w:b w:val="0"/>
                <w:bCs w:val="0"/>
                <w:sz w:val="14"/>
                <w:szCs w:val="14"/>
              </w:rPr>
            </w:pPr>
            <w:r w:rsidRPr="0020017B">
              <w:rPr>
                <w:rFonts w:ascii="Arial" w:hAnsi="Arial" w:cs="Arial"/>
                <w:b w:val="0"/>
                <w:sz w:val="14"/>
                <w:szCs w:val="14"/>
              </w:rPr>
              <w:t>Otros gastos</w:t>
            </w:r>
          </w:p>
        </w:tc>
        <w:tc>
          <w:tcPr>
            <w:cnfStyle w:val="000010000000" w:firstRow="0" w:lastRow="0" w:firstColumn="0" w:lastColumn="0" w:oddVBand="1" w:evenVBand="0" w:oddHBand="0" w:evenHBand="0" w:firstRowFirstColumn="0" w:firstRowLastColumn="0" w:lastRowFirstColumn="0" w:lastRowLastColumn="0"/>
            <w:tcW w:w="992" w:type="dxa"/>
          </w:tcPr>
          <w:p w:rsidR="0044319A" w:rsidRPr="0020017B" w:rsidRDefault="00EE2F9B" w:rsidP="0014341C">
            <w:pPr>
              <w:jc w:val="right"/>
              <w:rPr>
                <w:rFonts w:ascii="Arial" w:hAnsi="Arial" w:cs="Arial"/>
                <w:b/>
                <w:sz w:val="14"/>
                <w:szCs w:val="14"/>
              </w:rPr>
            </w:pPr>
            <w:r w:rsidRPr="0020017B">
              <w:rPr>
                <w:rFonts w:ascii="Arial" w:hAnsi="Arial" w:cs="Arial"/>
                <w:b/>
                <w:sz w:val="14"/>
                <w:szCs w:val="14"/>
              </w:rPr>
              <w:t>387</w:t>
            </w:r>
          </w:p>
        </w:tc>
        <w:tc>
          <w:tcPr>
            <w:tcW w:w="992" w:type="dxa"/>
          </w:tcPr>
          <w:p w:rsidR="0044319A" w:rsidRPr="0020017B" w:rsidRDefault="00EE2F9B" w:rsidP="0014341C">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20017B">
              <w:rPr>
                <w:rFonts w:ascii="Arial" w:hAnsi="Arial" w:cs="Arial"/>
                <w:b/>
                <w:sz w:val="14"/>
                <w:szCs w:val="14"/>
              </w:rPr>
              <w:t>472</w:t>
            </w:r>
          </w:p>
        </w:tc>
        <w:tc>
          <w:tcPr>
            <w:cnfStyle w:val="000010000000" w:firstRow="0" w:lastRow="0" w:firstColumn="0" w:lastColumn="0" w:oddVBand="1" w:evenVBand="0" w:oddHBand="0" w:evenHBand="0" w:firstRowFirstColumn="0" w:firstRowLastColumn="0" w:lastRowFirstColumn="0" w:lastRowLastColumn="0"/>
            <w:tcW w:w="1041" w:type="dxa"/>
          </w:tcPr>
          <w:p w:rsidR="0044319A" w:rsidRPr="0020017B" w:rsidRDefault="0020017B" w:rsidP="0014341C">
            <w:pPr>
              <w:jc w:val="right"/>
              <w:rPr>
                <w:rFonts w:ascii="Arial" w:hAnsi="Arial" w:cs="Arial"/>
                <w:b/>
                <w:sz w:val="14"/>
                <w:szCs w:val="14"/>
              </w:rPr>
            </w:pPr>
            <w:r>
              <w:rPr>
                <w:rFonts w:ascii="Arial" w:hAnsi="Arial" w:cs="Arial"/>
                <w:b/>
                <w:sz w:val="14"/>
                <w:szCs w:val="14"/>
              </w:rPr>
              <w:t>(18.0%)</w:t>
            </w:r>
          </w:p>
        </w:tc>
        <w:tc>
          <w:tcPr>
            <w:tcW w:w="1001" w:type="dxa"/>
          </w:tcPr>
          <w:p w:rsidR="0044319A" w:rsidRPr="0020017B" w:rsidRDefault="00EE2F9B" w:rsidP="0014341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20017B">
              <w:rPr>
                <w:rFonts w:ascii="Arial" w:hAnsi="Arial" w:cs="Arial"/>
                <w:b/>
                <w:bCs/>
                <w:sz w:val="14"/>
                <w:szCs w:val="14"/>
              </w:rPr>
              <w:t>296</w:t>
            </w:r>
          </w:p>
          <w:p w:rsidR="002B73B4" w:rsidRPr="0020017B" w:rsidRDefault="002B73B4" w:rsidP="0014341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p>
        </w:tc>
        <w:tc>
          <w:tcPr>
            <w:cnfStyle w:val="000100000000" w:firstRow="0" w:lastRow="0" w:firstColumn="0" w:lastColumn="1" w:oddVBand="0" w:evenVBand="0" w:oddHBand="0" w:evenHBand="0" w:firstRowFirstColumn="0" w:firstRowLastColumn="0" w:lastRowFirstColumn="0" w:lastRowLastColumn="0"/>
            <w:tcW w:w="1001" w:type="dxa"/>
          </w:tcPr>
          <w:p w:rsidR="0044319A" w:rsidRPr="0020017B" w:rsidRDefault="0020017B" w:rsidP="0014341C">
            <w:pPr>
              <w:jc w:val="center"/>
              <w:rPr>
                <w:rFonts w:ascii="Arial" w:hAnsi="Arial" w:cs="Arial"/>
                <w:b w:val="0"/>
                <w:bCs w:val="0"/>
                <w:sz w:val="14"/>
                <w:szCs w:val="14"/>
              </w:rPr>
            </w:pPr>
            <w:r>
              <w:rPr>
                <w:rFonts w:ascii="Arial" w:hAnsi="Arial" w:cs="Arial"/>
                <w:b w:val="0"/>
                <w:bCs w:val="0"/>
                <w:sz w:val="14"/>
                <w:szCs w:val="14"/>
              </w:rPr>
              <w:t>30.7%</w:t>
            </w:r>
          </w:p>
        </w:tc>
      </w:tr>
      <w:tr w:rsidR="0044319A" w:rsidRPr="00381CE3" w:rsidTr="0020017B">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1" w:type="dxa"/>
          </w:tcPr>
          <w:p w:rsidR="0044319A" w:rsidRPr="0020017B" w:rsidRDefault="0044319A" w:rsidP="0014341C">
            <w:pPr>
              <w:rPr>
                <w:rFonts w:ascii="Arial" w:hAnsi="Arial" w:cs="Arial"/>
                <w:b w:val="0"/>
                <w:bCs w:val="0"/>
                <w:sz w:val="14"/>
                <w:szCs w:val="14"/>
              </w:rPr>
            </w:pPr>
            <w:r w:rsidRPr="0020017B">
              <w:rPr>
                <w:rFonts w:ascii="Arial" w:hAnsi="Arial" w:cs="Arial"/>
                <w:b w:val="0"/>
                <w:sz w:val="14"/>
                <w:szCs w:val="14"/>
              </w:rPr>
              <w:t>Superávit del ejercicio</w:t>
            </w:r>
          </w:p>
        </w:tc>
        <w:tc>
          <w:tcPr>
            <w:cnfStyle w:val="000010000000" w:firstRow="0" w:lastRow="0" w:firstColumn="0" w:lastColumn="0" w:oddVBand="1" w:evenVBand="0" w:oddHBand="0" w:evenHBand="0" w:firstRowFirstColumn="0" w:firstRowLastColumn="0" w:lastRowFirstColumn="0" w:lastRowLastColumn="0"/>
            <w:tcW w:w="992" w:type="dxa"/>
          </w:tcPr>
          <w:p w:rsidR="0044319A" w:rsidRPr="0020017B" w:rsidRDefault="0020017B" w:rsidP="0014341C">
            <w:pPr>
              <w:jc w:val="right"/>
              <w:rPr>
                <w:rFonts w:ascii="Arial" w:hAnsi="Arial" w:cs="Arial"/>
                <w:b w:val="0"/>
                <w:bCs w:val="0"/>
                <w:sz w:val="14"/>
                <w:szCs w:val="14"/>
              </w:rPr>
            </w:pPr>
            <w:r w:rsidRPr="0020017B">
              <w:rPr>
                <w:rFonts w:ascii="Arial" w:hAnsi="Arial" w:cs="Arial"/>
                <w:b w:val="0"/>
                <w:bCs w:val="0"/>
                <w:sz w:val="14"/>
                <w:szCs w:val="14"/>
              </w:rPr>
              <w:t>47.135</w:t>
            </w:r>
          </w:p>
        </w:tc>
        <w:tc>
          <w:tcPr>
            <w:tcW w:w="992" w:type="dxa"/>
          </w:tcPr>
          <w:p w:rsidR="0044319A" w:rsidRPr="0020017B" w:rsidRDefault="0020017B" w:rsidP="0014341C">
            <w:pPr>
              <w:jc w:val="righ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14"/>
                <w:szCs w:val="14"/>
              </w:rPr>
            </w:pPr>
            <w:r w:rsidRPr="0020017B">
              <w:rPr>
                <w:rFonts w:ascii="Arial" w:hAnsi="Arial" w:cs="Arial"/>
                <w:b w:val="0"/>
                <w:bCs w:val="0"/>
                <w:sz w:val="14"/>
                <w:szCs w:val="14"/>
              </w:rPr>
              <w:t>50.528</w:t>
            </w:r>
          </w:p>
        </w:tc>
        <w:tc>
          <w:tcPr>
            <w:cnfStyle w:val="000010000000" w:firstRow="0" w:lastRow="0" w:firstColumn="0" w:lastColumn="0" w:oddVBand="1" w:evenVBand="0" w:oddHBand="0" w:evenHBand="0" w:firstRowFirstColumn="0" w:firstRowLastColumn="0" w:lastRowFirstColumn="0" w:lastRowLastColumn="0"/>
            <w:tcW w:w="1041" w:type="dxa"/>
          </w:tcPr>
          <w:p w:rsidR="0044319A" w:rsidRPr="0020017B" w:rsidRDefault="0020017B" w:rsidP="0014341C">
            <w:pPr>
              <w:jc w:val="right"/>
              <w:rPr>
                <w:rFonts w:ascii="Arial" w:hAnsi="Arial" w:cs="Arial"/>
                <w:b w:val="0"/>
                <w:bCs w:val="0"/>
                <w:sz w:val="14"/>
                <w:szCs w:val="14"/>
              </w:rPr>
            </w:pPr>
            <w:r w:rsidRPr="0020017B">
              <w:rPr>
                <w:rFonts w:ascii="Arial" w:hAnsi="Arial" w:cs="Arial"/>
                <w:b w:val="0"/>
                <w:bCs w:val="0"/>
                <w:sz w:val="14"/>
                <w:szCs w:val="14"/>
              </w:rPr>
              <w:t>(7.2%)</w:t>
            </w:r>
          </w:p>
        </w:tc>
        <w:tc>
          <w:tcPr>
            <w:tcW w:w="1001" w:type="dxa"/>
          </w:tcPr>
          <w:p w:rsidR="0044319A" w:rsidRPr="0020017B" w:rsidRDefault="0020017B" w:rsidP="0014341C">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14"/>
                <w:szCs w:val="14"/>
              </w:rPr>
            </w:pPr>
            <w:r w:rsidRPr="0020017B">
              <w:rPr>
                <w:rFonts w:ascii="Arial" w:hAnsi="Arial" w:cs="Arial"/>
                <w:b w:val="0"/>
                <w:bCs w:val="0"/>
                <w:sz w:val="14"/>
                <w:szCs w:val="14"/>
              </w:rPr>
              <w:t>16.636</w:t>
            </w:r>
          </w:p>
        </w:tc>
        <w:tc>
          <w:tcPr>
            <w:cnfStyle w:val="000100000000" w:firstRow="0" w:lastRow="0" w:firstColumn="0" w:lastColumn="1" w:oddVBand="0" w:evenVBand="0" w:oddHBand="0" w:evenHBand="0" w:firstRowFirstColumn="0" w:firstRowLastColumn="0" w:lastRowFirstColumn="0" w:lastRowLastColumn="0"/>
            <w:tcW w:w="1001" w:type="dxa"/>
          </w:tcPr>
          <w:p w:rsidR="0044319A" w:rsidRPr="0020017B" w:rsidRDefault="0020017B" w:rsidP="0014341C">
            <w:pPr>
              <w:jc w:val="center"/>
              <w:rPr>
                <w:rFonts w:ascii="Arial" w:hAnsi="Arial" w:cs="Arial"/>
                <w:b w:val="0"/>
                <w:bCs w:val="0"/>
                <w:sz w:val="14"/>
                <w:szCs w:val="14"/>
              </w:rPr>
            </w:pPr>
            <w:r w:rsidRPr="0020017B">
              <w:rPr>
                <w:rFonts w:ascii="Arial" w:hAnsi="Arial" w:cs="Arial"/>
                <w:b w:val="0"/>
                <w:bCs w:val="0"/>
                <w:sz w:val="14"/>
                <w:szCs w:val="14"/>
              </w:rPr>
              <w:t>183.3%</w:t>
            </w:r>
          </w:p>
        </w:tc>
      </w:tr>
    </w:tbl>
    <w:p w:rsidR="00C32225" w:rsidRDefault="00C32225" w:rsidP="00C32225">
      <w:pPr>
        <w:jc w:val="center"/>
        <w:rPr>
          <w:rFonts w:ascii="Arial" w:hAnsi="Arial" w:cs="Arial"/>
          <w:sz w:val="16"/>
          <w:szCs w:val="16"/>
        </w:rPr>
      </w:pPr>
      <w:r w:rsidRPr="009E7328">
        <w:rPr>
          <w:rFonts w:ascii="Arial" w:hAnsi="Arial" w:cs="Arial"/>
          <w:sz w:val="16"/>
          <w:szCs w:val="16"/>
        </w:rPr>
        <w:t>Comportamiento de los ingresos y costos</w:t>
      </w:r>
    </w:p>
    <w:p w:rsidR="00647CBB" w:rsidRPr="009E7328" w:rsidRDefault="00647CBB" w:rsidP="00C32225">
      <w:pPr>
        <w:jc w:val="center"/>
        <w:rPr>
          <w:rFonts w:ascii="Arial" w:hAnsi="Arial" w:cs="Arial"/>
          <w:sz w:val="16"/>
          <w:szCs w:val="16"/>
        </w:rPr>
      </w:pPr>
    </w:p>
    <w:p w:rsidR="00C32225" w:rsidRDefault="00C32225" w:rsidP="00C32225">
      <w:pPr>
        <w:jc w:val="both"/>
        <w:rPr>
          <w:rFonts w:ascii="Arial" w:hAnsi="Arial" w:cs="Arial"/>
        </w:rPr>
      </w:pPr>
      <w:r>
        <w:rPr>
          <w:rFonts w:ascii="Arial" w:hAnsi="Arial" w:cs="Arial"/>
        </w:rPr>
        <w:t>El Estado de Actividad, Financiera, Económica y Social revela el comportamiento del flujo de recursos tanto de ingresos operacionales y no operacionales frente a los costos y gastos producto del desarrollo de las actividades del Departamento del Quindío</w:t>
      </w:r>
      <w:r w:rsidR="00D14889">
        <w:rPr>
          <w:rFonts w:ascii="Arial" w:hAnsi="Arial" w:cs="Arial"/>
        </w:rPr>
        <w:t xml:space="preserve"> por el periodo del 1</w:t>
      </w:r>
      <w:r w:rsidR="0020017B">
        <w:rPr>
          <w:rFonts w:ascii="Arial" w:hAnsi="Arial" w:cs="Arial"/>
        </w:rPr>
        <w:t xml:space="preserve"> de enero al 31 de marzo de 2013</w:t>
      </w:r>
      <w:r w:rsidR="00D14889">
        <w:rPr>
          <w:rFonts w:ascii="Arial" w:hAnsi="Arial" w:cs="Arial"/>
        </w:rPr>
        <w:t>.</w:t>
      </w:r>
    </w:p>
    <w:p w:rsidR="0044319A" w:rsidRDefault="0044319A" w:rsidP="00C32225">
      <w:pPr>
        <w:jc w:val="both"/>
        <w:rPr>
          <w:rFonts w:ascii="Arial" w:hAnsi="Arial" w:cs="Arial"/>
        </w:rPr>
      </w:pPr>
    </w:p>
    <w:p w:rsidR="0044319A" w:rsidRDefault="0044319A" w:rsidP="00C32225">
      <w:pPr>
        <w:jc w:val="both"/>
        <w:rPr>
          <w:rFonts w:ascii="Arial" w:hAnsi="Arial" w:cs="Arial"/>
        </w:rPr>
      </w:pPr>
    </w:p>
    <w:p w:rsidR="0044319A" w:rsidRDefault="0044319A" w:rsidP="00C32225">
      <w:pPr>
        <w:jc w:val="both"/>
        <w:rPr>
          <w:rFonts w:ascii="Arial" w:hAnsi="Arial" w:cs="Arial"/>
        </w:rPr>
      </w:pPr>
    </w:p>
    <w:p w:rsidR="0044319A" w:rsidRDefault="0044319A" w:rsidP="00C32225">
      <w:pPr>
        <w:jc w:val="both"/>
        <w:rPr>
          <w:rFonts w:ascii="Arial" w:hAnsi="Arial" w:cs="Arial"/>
        </w:rPr>
      </w:pPr>
    </w:p>
    <w:p w:rsidR="0044319A" w:rsidRDefault="0044319A" w:rsidP="00C32225">
      <w:pPr>
        <w:jc w:val="both"/>
        <w:rPr>
          <w:rFonts w:ascii="Arial" w:hAnsi="Arial" w:cs="Arial"/>
        </w:rPr>
      </w:pPr>
    </w:p>
    <w:p w:rsidR="0044319A" w:rsidRDefault="0020017B" w:rsidP="00C32225">
      <w:pPr>
        <w:jc w:val="both"/>
        <w:rPr>
          <w:rFonts w:ascii="Arial" w:hAnsi="Arial" w:cs="Arial"/>
        </w:rPr>
      </w:pPr>
      <w:r>
        <w:rPr>
          <w:rFonts w:ascii="Arial" w:hAnsi="Arial" w:cs="Arial"/>
          <w:noProof/>
          <w:lang w:val="es-CO" w:eastAsia="es-CO"/>
        </w:rPr>
        <w:lastRenderedPageBreak/>
        <mc:AlternateContent>
          <mc:Choice Requires="wps">
            <w:drawing>
              <wp:anchor distT="0" distB="0" distL="114300" distR="114300" simplePos="0" relativeHeight="251657728" behindDoc="0" locked="0" layoutInCell="1" allowOverlap="1" wp14:anchorId="1EBF8E5D" wp14:editId="35C53F55">
                <wp:simplePos x="0" y="0"/>
                <wp:positionH relativeFrom="column">
                  <wp:posOffset>4947285</wp:posOffset>
                </wp:positionH>
                <wp:positionV relativeFrom="paragraph">
                  <wp:posOffset>1270</wp:posOffset>
                </wp:positionV>
                <wp:extent cx="937260" cy="2621280"/>
                <wp:effectExtent l="0" t="0" r="0" b="762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62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B48" w:rsidRPr="00CA66AF" w:rsidRDefault="0020017B" w:rsidP="00C32225">
                            <w:pPr>
                              <w:jc w:val="both"/>
                              <w:rPr>
                                <w:rFonts w:ascii="Arial" w:hAnsi="Arial" w:cs="Arial"/>
                              </w:rPr>
                            </w:pPr>
                            <w:r>
                              <w:rPr>
                                <w:rFonts w:ascii="Arial" w:hAnsi="Arial" w:cs="Arial"/>
                              </w:rPr>
                              <w:t xml:space="preserve">Desde el trimestre de marzo de 2009 al trimestre marzo de 2013, los ingresos operacionales han tenido un crecimiento nominal  del 83.9%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0" type="#_x0000_t202" style="position:absolute;left:0;text-align:left;margin-left:389.55pt;margin-top:.1pt;width:73.8pt;height:20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vv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" stroked="f">
                <v:textbox>
                  <w:txbxContent>
                    <w:p w:rsidR="00062B48" w:rsidRPr="00CA66AF" w:rsidRDefault="0020017B" w:rsidP="00C32225">
                      <w:pPr>
                        <w:jc w:val="both"/>
                        <w:rPr>
                          <w:rFonts w:ascii="Arial" w:hAnsi="Arial" w:cs="Arial"/>
                        </w:rPr>
                      </w:pPr>
                      <w:r>
                        <w:rPr>
                          <w:rFonts w:ascii="Arial" w:hAnsi="Arial" w:cs="Arial"/>
                        </w:rPr>
                        <w:t xml:space="preserve">Desde el trimestre de marzo de 2009 al trimestre marzo de 2013, los ingresos operacionales han tenido un crecimiento nominal  del 83.9% </w:t>
                      </w:r>
                    </w:p>
                  </w:txbxContent>
                </v:textbox>
              </v:shape>
            </w:pict>
          </mc:Fallback>
        </mc:AlternateContent>
      </w:r>
      <w:r w:rsidR="0044319A">
        <w:rPr>
          <w:noProof/>
          <w:lang w:val="es-CO" w:eastAsia="es-CO"/>
        </w:rPr>
        <w:drawing>
          <wp:inline distT="0" distB="0" distL="0" distR="0" wp14:anchorId="22D06C9C" wp14:editId="30E365A7">
            <wp:extent cx="4846320" cy="2506980"/>
            <wp:effectExtent l="0" t="0" r="0" b="762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319A" w:rsidRDefault="0044319A" w:rsidP="00C32225">
      <w:pPr>
        <w:jc w:val="both"/>
        <w:rPr>
          <w:rFonts w:ascii="Arial" w:hAnsi="Arial" w:cs="Arial"/>
        </w:rPr>
      </w:pPr>
    </w:p>
    <w:p w:rsidR="0044319A" w:rsidRDefault="0044319A" w:rsidP="00C32225">
      <w:pPr>
        <w:jc w:val="both"/>
        <w:rPr>
          <w:rFonts w:ascii="Arial" w:hAnsi="Arial" w:cs="Arial"/>
        </w:rPr>
      </w:pPr>
    </w:p>
    <w:p w:rsidR="0044319A" w:rsidRDefault="0020017B" w:rsidP="00C32225">
      <w:pPr>
        <w:jc w:val="both"/>
        <w:rPr>
          <w:rFonts w:ascii="Arial" w:hAnsi="Arial" w:cs="Arial"/>
        </w:rPr>
      </w:pPr>
      <w:r>
        <w:rPr>
          <w:rFonts w:ascii="Arial" w:hAnsi="Arial" w:cs="Arial"/>
        </w:rPr>
        <w:t>En tanto, los costos totales han tenido un crecimiento nominal del 18.6%.</w:t>
      </w:r>
      <w:r w:rsidR="001A7FA0">
        <w:rPr>
          <w:rFonts w:ascii="Arial" w:hAnsi="Arial" w:cs="Arial"/>
        </w:rPr>
        <w:t xml:space="preserve"> </w:t>
      </w:r>
      <w:proofErr w:type="gramStart"/>
      <w:r w:rsidR="001A7FA0">
        <w:rPr>
          <w:rFonts w:ascii="Arial" w:hAnsi="Arial" w:cs="Arial"/>
        </w:rPr>
        <w:t>en</w:t>
      </w:r>
      <w:proofErr w:type="gramEnd"/>
      <w:r w:rsidR="001A7FA0">
        <w:rPr>
          <w:rFonts w:ascii="Arial" w:hAnsi="Arial" w:cs="Arial"/>
        </w:rPr>
        <w:t xml:space="preserve"> el cierre del primer trimestre de 2013, el resultado operacional arrojó una cobertura de gastos totales en 2.56. Este resultado es reflejo de la tendencia de inicio de cada año, de reacomodo administrativo y financiero en la ejecución del plan de desarrollo. </w:t>
      </w:r>
    </w:p>
    <w:p w:rsidR="0044319A" w:rsidRDefault="0044319A" w:rsidP="00C32225">
      <w:pPr>
        <w:jc w:val="both"/>
        <w:rPr>
          <w:rFonts w:ascii="Arial" w:hAnsi="Arial" w:cs="Arial"/>
        </w:rPr>
      </w:pPr>
    </w:p>
    <w:p w:rsidR="0044319A" w:rsidRDefault="0044319A" w:rsidP="00C32225">
      <w:pPr>
        <w:jc w:val="both"/>
        <w:rPr>
          <w:rFonts w:ascii="Arial" w:hAnsi="Arial" w:cs="Arial"/>
        </w:rPr>
      </w:pPr>
    </w:p>
    <w:p w:rsidR="0044319A" w:rsidRDefault="0044319A" w:rsidP="00C32225">
      <w:pPr>
        <w:jc w:val="both"/>
        <w:rPr>
          <w:rFonts w:ascii="Arial" w:hAnsi="Arial" w:cs="Arial"/>
        </w:rPr>
      </w:pPr>
    </w:p>
    <w:p w:rsidR="0044319A" w:rsidRDefault="0044319A" w:rsidP="00C32225">
      <w:pPr>
        <w:jc w:val="both"/>
        <w:rPr>
          <w:rFonts w:ascii="Arial" w:hAnsi="Arial" w:cs="Arial"/>
        </w:rPr>
      </w:pPr>
    </w:p>
    <w:p w:rsidR="0040161C" w:rsidRDefault="0040161C" w:rsidP="00C32225">
      <w:pPr>
        <w:jc w:val="both"/>
        <w:rPr>
          <w:rFonts w:ascii="Arial" w:hAnsi="Arial" w:cs="Arial"/>
        </w:rPr>
      </w:pPr>
      <w:bookmarkStart w:id="0" w:name="_GoBack"/>
      <w:bookmarkEnd w:id="0"/>
    </w:p>
    <w:p w:rsidR="0040161C" w:rsidRDefault="0040161C" w:rsidP="00C32225">
      <w:pPr>
        <w:jc w:val="both"/>
        <w:rPr>
          <w:rFonts w:ascii="Arial" w:hAnsi="Arial" w:cs="Arial"/>
          <w:b/>
        </w:rPr>
      </w:pPr>
    </w:p>
    <w:p w:rsidR="0040161C" w:rsidRPr="0040161C" w:rsidRDefault="0040161C" w:rsidP="00C32225">
      <w:pPr>
        <w:jc w:val="both"/>
        <w:rPr>
          <w:rFonts w:ascii="Arial" w:hAnsi="Arial" w:cs="Arial"/>
          <w:b/>
        </w:rPr>
      </w:pPr>
      <w:r w:rsidRPr="0040161C">
        <w:rPr>
          <w:rFonts w:ascii="Arial" w:hAnsi="Arial" w:cs="Arial"/>
          <w:b/>
        </w:rPr>
        <w:t>C.P.T.  JAFET FLÓREZ PENAGOS</w:t>
      </w:r>
    </w:p>
    <w:p w:rsidR="0040161C" w:rsidRPr="0040161C" w:rsidRDefault="0040161C" w:rsidP="00C32225">
      <w:pPr>
        <w:jc w:val="both"/>
        <w:rPr>
          <w:rFonts w:ascii="Arial" w:hAnsi="Arial" w:cs="Arial"/>
          <w:b/>
        </w:rPr>
      </w:pPr>
      <w:r w:rsidRPr="0040161C">
        <w:rPr>
          <w:rFonts w:ascii="Arial" w:hAnsi="Arial" w:cs="Arial"/>
          <w:b/>
        </w:rPr>
        <w:t>Jefe Oficina de Contabilidad</w:t>
      </w:r>
    </w:p>
    <w:sectPr w:rsidR="0040161C" w:rsidRPr="0040161C" w:rsidSect="00647CBB">
      <w:headerReference w:type="default" r:id="rId15"/>
      <w:footerReference w:type="default" r:id="rId16"/>
      <w:footerReference w:type="first" r:id="rId17"/>
      <w:pgSz w:w="12242" w:h="15842" w:code="1"/>
      <w:pgMar w:top="1701" w:right="1134" w:bottom="1701" w:left="1701" w:header="1134" w:footer="85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6B" w:rsidRDefault="008D646B">
      <w:r>
        <w:separator/>
      </w:r>
    </w:p>
  </w:endnote>
  <w:endnote w:type="continuationSeparator" w:id="0">
    <w:p w:rsidR="008D646B" w:rsidRDefault="008D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B48" w:rsidRDefault="004F2C3D">
    <w:pPr>
      <w:pStyle w:val="Piedepgina"/>
      <w:jc w:val="center"/>
    </w:pPr>
    <w:r>
      <w:rPr>
        <w:noProof/>
        <w:lang w:val="es-CO" w:eastAsia="es-CO"/>
      </w:rPr>
      <mc:AlternateContent>
        <mc:Choice Requires="wps">
          <w:drawing>
            <wp:inline distT="0" distB="0" distL="0" distR="0">
              <wp:extent cx="5933440" cy="54610"/>
              <wp:effectExtent l="9525" t="19050" r="10160"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" fillcolor="black">
              <w10:anchorlock/>
            </v:shape>
          </w:pict>
        </mc:Fallback>
      </mc:AlternateContent>
    </w:r>
  </w:p>
  <w:p w:rsidR="00062B48" w:rsidRDefault="00CD398B">
    <w:pPr>
      <w:pStyle w:val="Piedepgina"/>
      <w:jc w:val="center"/>
    </w:pPr>
    <w:r>
      <w:fldChar w:fldCharType="begin"/>
    </w:r>
    <w:r>
      <w:instrText xml:space="preserve"> PAGE    \* MERGEFORMAT </w:instrText>
    </w:r>
    <w:r>
      <w:fldChar w:fldCharType="separate"/>
    </w:r>
    <w:r w:rsidR="001A7FA0">
      <w:rPr>
        <w:noProof/>
      </w:rPr>
      <w:t>5</w:t>
    </w:r>
    <w:r>
      <w:rPr>
        <w:noProof/>
      </w:rPr>
      <w:fldChar w:fldCharType="end"/>
    </w:r>
  </w:p>
  <w:p w:rsidR="00062B48" w:rsidRPr="002B1C8A" w:rsidRDefault="00062B48" w:rsidP="002B1C8A">
    <w:pPr>
      <w:pStyle w:val="Piedepgina"/>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B48" w:rsidRDefault="00062B48">
    <w:pPr>
      <w:pStyle w:val="Piedepgina"/>
    </w:pPr>
  </w:p>
  <w:p w:rsidR="00062B48" w:rsidRDefault="00062B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6B" w:rsidRDefault="008D646B">
      <w:r>
        <w:separator/>
      </w:r>
    </w:p>
  </w:footnote>
  <w:footnote w:type="continuationSeparator" w:id="0">
    <w:p w:rsidR="008D646B" w:rsidRDefault="008D6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B48" w:rsidRPr="00C32225" w:rsidRDefault="00062B48" w:rsidP="003253E9">
    <w:pPr>
      <w:jc w:val="center"/>
      <w:rPr>
        <w:rFonts w:ascii="Arial" w:hAnsi="Arial" w:cs="Arial"/>
      </w:rPr>
    </w:pPr>
    <w:r w:rsidRPr="00C32225">
      <w:rPr>
        <w:rFonts w:ascii="Arial" w:hAnsi="Arial" w:cs="Arial"/>
      </w:rPr>
      <w:t xml:space="preserve">ANÁLISIS A LOS ESTADOS </w:t>
    </w:r>
    <w:r w:rsidR="00ED021B">
      <w:rPr>
        <w:rFonts w:ascii="Arial" w:hAnsi="Arial" w:cs="Arial"/>
      </w:rPr>
      <w:t>FINANCIEROS MARZO DE 2013</w:t>
    </w:r>
  </w:p>
  <w:p w:rsidR="00062B48" w:rsidRPr="00C32225" w:rsidRDefault="00062B48" w:rsidP="003253E9">
    <w:pPr>
      <w:jc w:val="center"/>
      <w:rPr>
        <w:sz w:val="16"/>
        <w:szCs w:val="16"/>
      </w:rPr>
    </w:pPr>
    <w:r w:rsidRPr="00C32225">
      <w:rPr>
        <w:rFonts w:ascii="Arial" w:hAnsi="Arial" w:cs="Arial"/>
        <w:sz w:val="16"/>
        <w:szCs w:val="16"/>
      </w:rPr>
      <w:t>SECRETARÍA DE HACIENDA</w:t>
    </w:r>
  </w:p>
  <w:p w:rsidR="00062B48" w:rsidRDefault="00062B48">
    <w:pPr>
      <w:pStyle w:val="Encabezado"/>
      <w:rPr>
        <w:b/>
      </w:rPr>
    </w:pPr>
  </w:p>
  <w:p w:rsidR="00062B48" w:rsidRDefault="00062B48">
    <w:pPr>
      <w:pStyle w:val="Encabezado"/>
      <w:rPr>
        <w:b/>
      </w:rPr>
    </w:pPr>
  </w:p>
  <w:p w:rsidR="00062B48" w:rsidRDefault="00062B48">
    <w:pPr>
      <w:pStyle w:val="Encabezado"/>
      <w:rPr>
        <w:b/>
      </w:rPr>
    </w:pPr>
  </w:p>
  <w:p w:rsidR="00062B48" w:rsidRDefault="00062B48">
    <w:pPr>
      <w:pStyle w:val="Encabezado"/>
      <w:rPr>
        <w:b/>
      </w:rPr>
    </w:pPr>
  </w:p>
  <w:p w:rsidR="00062B48" w:rsidRDefault="00062B48">
    <w:pPr>
      <w:pStyle w:val="Encabezado"/>
      <w:rPr>
        <w:b/>
      </w:rPr>
    </w:pPr>
  </w:p>
  <w:p w:rsidR="00062B48" w:rsidRDefault="00062B48">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064"/>
    <w:multiLevelType w:val="hybridMultilevel"/>
    <w:tmpl w:val="BD1682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B84316"/>
    <w:multiLevelType w:val="multilevel"/>
    <w:tmpl w:val="C7662D0E"/>
    <w:lvl w:ilvl="0">
      <w:start w:val="1"/>
      <w:numFmt w:val="decimal"/>
      <w:lvlText w:val="%1"/>
      <w:lvlJc w:val="left"/>
      <w:pPr>
        <w:ind w:left="600" w:hanging="600"/>
      </w:pPr>
      <w:rPr>
        <w:rFonts w:hint="default"/>
        <w:sz w:val="20"/>
      </w:rPr>
    </w:lvl>
    <w:lvl w:ilvl="1">
      <w:start w:val="1"/>
      <w:numFmt w:val="decimal"/>
      <w:lvlText w:val="%1.%2"/>
      <w:lvlJc w:val="left"/>
      <w:pPr>
        <w:ind w:left="600" w:hanging="6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
    <w:nsid w:val="0BC66FBF"/>
    <w:multiLevelType w:val="hybridMultilevel"/>
    <w:tmpl w:val="67F0C18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0FA723D"/>
    <w:multiLevelType w:val="hybridMultilevel"/>
    <w:tmpl w:val="90DE00DC"/>
    <w:lvl w:ilvl="0" w:tplc="4580A402">
      <w:start w:val="494"/>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2F7D71"/>
    <w:multiLevelType w:val="hybridMultilevel"/>
    <w:tmpl w:val="10306F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EA1F37"/>
    <w:multiLevelType w:val="hybridMultilevel"/>
    <w:tmpl w:val="864ED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4F405F7"/>
    <w:multiLevelType w:val="hybridMultilevel"/>
    <w:tmpl w:val="135AD61C"/>
    <w:lvl w:ilvl="0" w:tplc="1BF6362E">
      <w:start w:val="1"/>
      <w:numFmt w:val="decimal"/>
      <w:lvlText w:val="%1."/>
      <w:lvlJc w:val="left"/>
      <w:pPr>
        <w:tabs>
          <w:tab w:val="num" w:pos="630"/>
        </w:tabs>
        <w:ind w:left="630" w:hanging="495"/>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7">
    <w:nsid w:val="19691986"/>
    <w:multiLevelType w:val="hybridMultilevel"/>
    <w:tmpl w:val="0CBCE32C"/>
    <w:lvl w:ilvl="0" w:tplc="6ED08350">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25F54EE"/>
    <w:multiLevelType w:val="hybridMultilevel"/>
    <w:tmpl w:val="976C81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C356F9"/>
    <w:multiLevelType w:val="hybridMultilevel"/>
    <w:tmpl w:val="A644302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6F65ABE"/>
    <w:multiLevelType w:val="hybridMultilevel"/>
    <w:tmpl w:val="DFF2EB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73A140D"/>
    <w:multiLevelType w:val="hybridMultilevel"/>
    <w:tmpl w:val="1C8C8F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1B7C6D"/>
    <w:multiLevelType w:val="hybridMultilevel"/>
    <w:tmpl w:val="DFC66C56"/>
    <w:lvl w:ilvl="0" w:tplc="94065720">
      <w:start w:val="509"/>
      <w:numFmt w:val="decimal"/>
      <w:lvlText w:val="%1"/>
      <w:lvlJc w:val="left"/>
      <w:pPr>
        <w:tabs>
          <w:tab w:val="num" w:pos="1050"/>
        </w:tabs>
        <w:ind w:left="1050" w:hanging="735"/>
      </w:pPr>
      <w:rPr>
        <w:rFonts w:hint="default"/>
      </w:rPr>
    </w:lvl>
    <w:lvl w:ilvl="1" w:tplc="0C0A0019" w:tentative="1">
      <w:start w:val="1"/>
      <w:numFmt w:val="lowerLetter"/>
      <w:lvlText w:val="%2."/>
      <w:lvlJc w:val="left"/>
      <w:pPr>
        <w:tabs>
          <w:tab w:val="num" w:pos="1395"/>
        </w:tabs>
        <w:ind w:left="1395" w:hanging="360"/>
      </w:pPr>
    </w:lvl>
    <w:lvl w:ilvl="2" w:tplc="0C0A001B" w:tentative="1">
      <w:start w:val="1"/>
      <w:numFmt w:val="lowerRoman"/>
      <w:lvlText w:val="%3."/>
      <w:lvlJc w:val="right"/>
      <w:pPr>
        <w:tabs>
          <w:tab w:val="num" w:pos="2115"/>
        </w:tabs>
        <w:ind w:left="2115" w:hanging="180"/>
      </w:pPr>
    </w:lvl>
    <w:lvl w:ilvl="3" w:tplc="0C0A000F" w:tentative="1">
      <w:start w:val="1"/>
      <w:numFmt w:val="decimal"/>
      <w:lvlText w:val="%4."/>
      <w:lvlJc w:val="left"/>
      <w:pPr>
        <w:tabs>
          <w:tab w:val="num" w:pos="2835"/>
        </w:tabs>
        <w:ind w:left="2835" w:hanging="360"/>
      </w:pPr>
    </w:lvl>
    <w:lvl w:ilvl="4" w:tplc="0C0A0019" w:tentative="1">
      <w:start w:val="1"/>
      <w:numFmt w:val="lowerLetter"/>
      <w:lvlText w:val="%5."/>
      <w:lvlJc w:val="left"/>
      <w:pPr>
        <w:tabs>
          <w:tab w:val="num" w:pos="3555"/>
        </w:tabs>
        <w:ind w:left="3555" w:hanging="360"/>
      </w:pPr>
    </w:lvl>
    <w:lvl w:ilvl="5" w:tplc="0C0A001B" w:tentative="1">
      <w:start w:val="1"/>
      <w:numFmt w:val="lowerRoman"/>
      <w:lvlText w:val="%6."/>
      <w:lvlJc w:val="right"/>
      <w:pPr>
        <w:tabs>
          <w:tab w:val="num" w:pos="4275"/>
        </w:tabs>
        <w:ind w:left="4275" w:hanging="180"/>
      </w:pPr>
    </w:lvl>
    <w:lvl w:ilvl="6" w:tplc="0C0A000F" w:tentative="1">
      <w:start w:val="1"/>
      <w:numFmt w:val="decimal"/>
      <w:lvlText w:val="%7."/>
      <w:lvlJc w:val="left"/>
      <w:pPr>
        <w:tabs>
          <w:tab w:val="num" w:pos="4995"/>
        </w:tabs>
        <w:ind w:left="4995" w:hanging="360"/>
      </w:pPr>
    </w:lvl>
    <w:lvl w:ilvl="7" w:tplc="0C0A0019" w:tentative="1">
      <w:start w:val="1"/>
      <w:numFmt w:val="lowerLetter"/>
      <w:lvlText w:val="%8."/>
      <w:lvlJc w:val="left"/>
      <w:pPr>
        <w:tabs>
          <w:tab w:val="num" w:pos="5715"/>
        </w:tabs>
        <w:ind w:left="5715" w:hanging="360"/>
      </w:pPr>
    </w:lvl>
    <w:lvl w:ilvl="8" w:tplc="0C0A001B" w:tentative="1">
      <w:start w:val="1"/>
      <w:numFmt w:val="lowerRoman"/>
      <w:lvlText w:val="%9."/>
      <w:lvlJc w:val="right"/>
      <w:pPr>
        <w:tabs>
          <w:tab w:val="num" w:pos="6435"/>
        </w:tabs>
        <w:ind w:left="6435" w:hanging="180"/>
      </w:pPr>
    </w:lvl>
  </w:abstractNum>
  <w:abstractNum w:abstractNumId="13">
    <w:nsid w:val="2ACE6617"/>
    <w:multiLevelType w:val="multilevel"/>
    <w:tmpl w:val="A8A0A3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0B1024"/>
    <w:multiLevelType w:val="hybridMultilevel"/>
    <w:tmpl w:val="B56C6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85C633B"/>
    <w:multiLevelType w:val="multilevel"/>
    <w:tmpl w:val="58BEC69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CA1473"/>
    <w:multiLevelType w:val="hybridMultilevel"/>
    <w:tmpl w:val="45C61A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EF85FEB"/>
    <w:multiLevelType w:val="multilevel"/>
    <w:tmpl w:val="30DE24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FA842A6"/>
    <w:multiLevelType w:val="hybridMultilevel"/>
    <w:tmpl w:val="24926EC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5047CDA"/>
    <w:multiLevelType w:val="hybridMultilevel"/>
    <w:tmpl w:val="390CF266"/>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0">
    <w:nsid w:val="45896091"/>
    <w:multiLevelType w:val="hybridMultilevel"/>
    <w:tmpl w:val="E49CF98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90745EE"/>
    <w:multiLevelType w:val="hybridMultilevel"/>
    <w:tmpl w:val="FB7ED05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EB2571F"/>
    <w:multiLevelType w:val="hybridMultilevel"/>
    <w:tmpl w:val="DE1696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FB21EDC"/>
    <w:multiLevelType w:val="hybridMultilevel"/>
    <w:tmpl w:val="0E5E69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0261AFA"/>
    <w:multiLevelType w:val="hybridMultilevel"/>
    <w:tmpl w:val="39E44E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12239DC"/>
    <w:multiLevelType w:val="multilevel"/>
    <w:tmpl w:val="135AD61C"/>
    <w:lvl w:ilvl="0">
      <w:start w:val="1"/>
      <w:numFmt w:val="decimal"/>
      <w:lvlText w:val="%1."/>
      <w:lvlJc w:val="left"/>
      <w:pPr>
        <w:tabs>
          <w:tab w:val="num" w:pos="630"/>
        </w:tabs>
        <w:ind w:left="630" w:hanging="495"/>
      </w:pPr>
      <w:rPr>
        <w:rFonts w:hint="default"/>
      </w:rPr>
    </w:lvl>
    <w:lvl w:ilvl="1">
      <w:start w:val="1"/>
      <w:numFmt w:val="lowerLetter"/>
      <w:lvlText w:val="%2."/>
      <w:lvlJc w:val="left"/>
      <w:pPr>
        <w:tabs>
          <w:tab w:val="num" w:pos="1215"/>
        </w:tabs>
        <w:ind w:left="1215" w:hanging="360"/>
      </w:pPr>
    </w:lvl>
    <w:lvl w:ilvl="2">
      <w:start w:val="1"/>
      <w:numFmt w:val="lowerRoman"/>
      <w:lvlText w:val="%3."/>
      <w:lvlJc w:val="right"/>
      <w:pPr>
        <w:tabs>
          <w:tab w:val="num" w:pos="1935"/>
        </w:tabs>
        <w:ind w:left="1935" w:hanging="180"/>
      </w:pPr>
    </w:lvl>
    <w:lvl w:ilvl="3">
      <w:start w:val="1"/>
      <w:numFmt w:val="decimal"/>
      <w:lvlText w:val="%4."/>
      <w:lvlJc w:val="left"/>
      <w:pPr>
        <w:tabs>
          <w:tab w:val="num" w:pos="2655"/>
        </w:tabs>
        <w:ind w:left="2655" w:hanging="360"/>
      </w:pPr>
    </w:lvl>
    <w:lvl w:ilvl="4">
      <w:start w:val="1"/>
      <w:numFmt w:val="lowerLetter"/>
      <w:lvlText w:val="%5."/>
      <w:lvlJc w:val="left"/>
      <w:pPr>
        <w:tabs>
          <w:tab w:val="num" w:pos="3375"/>
        </w:tabs>
        <w:ind w:left="3375" w:hanging="360"/>
      </w:pPr>
    </w:lvl>
    <w:lvl w:ilvl="5">
      <w:start w:val="1"/>
      <w:numFmt w:val="lowerRoman"/>
      <w:lvlText w:val="%6."/>
      <w:lvlJc w:val="right"/>
      <w:pPr>
        <w:tabs>
          <w:tab w:val="num" w:pos="4095"/>
        </w:tabs>
        <w:ind w:left="4095" w:hanging="180"/>
      </w:pPr>
    </w:lvl>
    <w:lvl w:ilvl="6">
      <w:start w:val="1"/>
      <w:numFmt w:val="decimal"/>
      <w:lvlText w:val="%7."/>
      <w:lvlJc w:val="left"/>
      <w:pPr>
        <w:tabs>
          <w:tab w:val="num" w:pos="4815"/>
        </w:tabs>
        <w:ind w:left="4815" w:hanging="360"/>
      </w:pPr>
    </w:lvl>
    <w:lvl w:ilvl="7">
      <w:start w:val="1"/>
      <w:numFmt w:val="lowerLetter"/>
      <w:lvlText w:val="%8."/>
      <w:lvlJc w:val="left"/>
      <w:pPr>
        <w:tabs>
          <w:tab w:val="num" w:pos="5535"/>
        </w:tabs>
        <w:ind w:left="5535" w:hanging="360"/>
      </w:pPr>
    </w:lvl>
    <w:lvl w:ilvl="8">
      <w:start w:val="1"/>
      <w:numFmt w:val="lowerRoman"/>
      <w:lvlText w:val="%9."/>
      <w:lvlJc w:val="right"/>
      <w:pPr>
        <w:tabs>
          <w:tab w:val="num" w:pos="6255"/>
        </w:tabs>
        <w:ind w:left="6255" w:hanging="180"/>
      </w:pPr>
    </w:lvl>
  </w:abstractNum>
  <w:abstractNum w:abstractNumId="26">
    <w:nsid w:val="5BF51568"/>
    <w:multiLevelType w:val="hybridMultilevel"/>
    <w:tmpl w:val="2A4641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F3C5590"/>
    <w:multiLevelType w:val="hybridMultilevel"/>
    <w:tmpl w:val="E15078FC"/>
    <w:lvl w:ilvl="0" w:tplc="835AB366">
      <w:start w:val="1"/>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28">
    <w:nsid w:val="5F7266A1"/>
    <w:multiLevelType w:val="hybridMultilevel"/>
    <w:tmpl w:val="27543E9A"/>
    <w:lvl w:ilvl="0" w:tplc="0C0A0015">
      <w:start w:val="1"/>
      <w:numFmt w:val="upperLetter"/>
      <w:lvlText w:val="%1."/>
      <w:lvlJc w:val="left"/>
      <w:pPr>
        <w:tabs>
          <w:tab w:val="num" w:pos="720"/>
        </w:tabs>
        <w:ind w:left="720" w:hanging="360"/>
      </w:pPr>
      <w:rPr>
        <w:rFonts w:hint="default"/>
      </w:rPr>
    </w:lvl>
    <w:lvl w:ilvl="1" w:tplc="2CD0716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1861715"/>
    <w:multiLevelType w:val="hybridMultilevel"/>
    <w:tmpl w:val="0F069EC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40A1178"/>
    <w:multiLevelType w:val="hybridMultilevel"/>
    <w:tmpl w:val="CFF0DC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8321726"/>
    <w:multiLevelType w:val="hybridMultilevel"/>
    <w:tmpl w:val="F4AC0C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95D6FD6"/>
    <w:multiLevelType w:val="hybridMultilevel"/>
    <w:tmpl w:val="51CEDC8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A550D2C"/>
    <w:multiLevelType w:val="hybridMultilevel"/>
    <w:tmpl w:val="113A3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A5F7C27"/>
    <w:multiLevelType w:val="hybridMultilevel"/>
    <w:tmpl w:val="7AEE8E2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AF17725"/>
    <w:multiLevelType w:val="hybridMultilevel"/>
    <w:tmpl w:val="DA7A172C"/>
    <w:lvl w:ilvl="0" w:tplc="BB0A28A0">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6">
    <w:nsid w:val="6C0C607A"/>
    <w:multiLevelType w:val="hybridMultilevel"/>
    <w:tmpl w:val="D4FC4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CD0477"/>
    <w:multiLevelType w:val="hybridMultilevel"/>
    <w:tmpl w:val="DF6A7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2C67025"/>
    <w:multiLevelType w:val="multilevel"/>
    <w:tmpl w:val="3454E82C"/>
    <w:lvl w:ilvl="0">
      <w:start w:val="1"/>
      <w:numFmt w:val="decimal"/>
      <w:lvlText w:val="%1"/>
      <w:lvlJc w:val="left"/>
      <w:pPr>
        <w:ind w:left="600" w:hanging="600"/>
      </w:pPr>
      <w:rPr>
        <w:rFonts w:hint="default"/>
        <w:sz w:val="20"/>
      </w:rPr>
    </w:lvl>
    <w:lvl w:ilvl="1">
      <w:start w:val="1"/>
      <w:numFmt w:val="decimal"/>
      <w:lvlText w:val="%1.%2"/>
      <w:lvlJc w:val="left"/>
      <w:pPr>
        <w:ind w:left="600" w:hanging="6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9">
    <w:nsid w:val="7D0B73A4"/>
    <w:multiLevelType w:val="hybridMultilevel"/>
    <w:tmpl w:val="7AB6FEE0"/>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0">
    <w:nsid w:val="7DF57B57"/>
    <w:multiLevelType w:val="hybridMultilevel"/>
    <w:tmpl w:val="15D61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7"/>
  </w:num>
  <w:num w:numId="4">
    <w:abstractNumId w:val="29"/>
  </w:num>
  <w:num w:numId="5">
    <w:abstractNumId w:val="24"/>
  </w:num>
  <w:num w:numId="6">
    <w:abstractNumId w:val="22"/>
  </w:num>
  <w:num w:numId="7">
    <w:abstractNumId w:val="30"/>
  </w:num>
  <w:num w:numId="8">
    <w:abstractNumId w:val="3"/>
  </w:num>
  <w:num w:numId="9">
    <w:abstractNumId w:val="12"/>
  </w:num>
  <w:num w:numId="10">
    <w:abstractNumId w:val="8"/>
  </w:num>
  <w:num w:numId="11">
    <w:abstractNumId w:val="23"/>
  </w:num>
  <w:num w:numId="12">
    <w:abstractNumId w:val="28"/>
  </w:num>
  <w:num w:numId="13">
    <w:abstractNumId w:val="10"/>
  </w:num>
  <w:num w:numId="14">
    <w:abstractNumId w:val="0"/>
  </w:num>
  <w:num w:numId="15">
    <w:abstractNumId w:val="31"/>
  </w:num>
  <w:num w:numId="16">
    <w:abstractNumId w:val="20"/>
  </w:num>
  <w:num w:numId="17">
    <w:abstractNumId w:val="32"/>
  </w:num>
  <w:num w:numId="18">
    <w:abstractNumId w:val="39"/>
  </w:num>
  <w:num w:numId="19">
    <w:abstractNumId w:val="21"/>
  </w:num>
  <w:num w:numId="20">
    <w:abstractNumId w:val="35"/>
  </w:num>
  <w:num w:numId="21">
    <w:abstractNumId w:val="4"/>
  </w:num>
  <w:num w:numId="22">
    <w:abstractNumId w:val="34"/>
  </w:num>
  <w:num w:numId="23">
    <w:abstractNumId w:val="16"/>
  </w:num>
  <w:num w:numId="24">
    <w:abstractNumId w:val="6"/>
  </w:num>
  <w:num w:numId="25">
    <w:abstractNumId w:val="9"/>
  </w:num>
  <w:num w:numId="26">
    <w:abstractNumId w:val="18"/>
  </w:num>
  <w:num w:numId="27">
    <w:abstractNumId w:val="25"/>
  </w:num>
  <w:num w:numId="28">
    <w:abstractNumId w:val="27"/>
  </w:num>
  <w:num w:numId="29">
    <w:abstractNumId w:val="2"/>
  </w:num>
  <w:num w:numId="30">
    <w:abstractNumId w:val="19"/>
  </w:num>
  <w:num w:numId="31">
    <w:abstractNumId w:val="5"/>
  </w:num>
  <w:num w:numId="32">
    <w:abstractNumId w:val="40"/>
  </w:num>
  <w:num w:numId="33">
    <w:abstractNumId w:val="14"/>
  </w:num>
  <w:num w:numId="34">
    <w:abstractNumId w:val="17"/>
  </w:num>
  <w:num w:numId="35">
    <w:abstractNumId w:val="33"/>
  </w:num>
  <w:num w:numId="36">
    <w:abstractNumId w:val="36"/>
  </w:num>
  <w:num w:numId="37">
    <w:abstractNumId w:val="37"/>
  </w:num>
  <w:num w:numId="38">
    <w:abstractNumId w:val="15"/>
  </w:num>
  <w:num w:numId="39">
    <w:abstractNumId w:val="1"/>
  </w:num>
  <w:num w:numId="40">
    <w:abstractNumId w:val="38"/>
  </w:num>
  <w:num w:numId="4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2D"/>
    <w:rsid w:val="00002555"/>
    <w:rsid w:val="00002722"/>
    <w:rsid w:val="000027D9"/>
    <w:rsid w:val="00003494"/>
    <w:rsid w:val="0000437A"/>
    <w:rsid w:val="000051A3"/>
    <w:rsid w:val="00006190"/>
    <w:rsid w:val="0000722B"/>
    <w:rsid w:val="00007330"/>
    <w:rsid w:val="0001094B"/>
    <w:rsid w:val="00012F45"/>
    <w:rsid w:val="0001495E"/>
    <w:rsid w:val="00017B24"/>
    <w:rsid w:val="00020015"/>
    <w:rsid w:val="00020BE2"/>
    <w:rsid w:val="00021068"/>
    <w:rsid w:val="00023E0F"/>
    <w:rsid w:val="00025662"/>
    <w:rsid w:val="00030699"/>
    <w:rsid w:val="000309AD"/>
    <w:rsid w:val="00033B46"/>
    <w:rsid w:val="00036F71"/>
    <w:rsid w:val="000400DE"/>
    <w:rsid w:val="00042113"/>
    <w:rsid w:val="00043645"/>
    <w:rsid w:val="000537BE"/>
    <w:rsid w:val="00056302"/>
    <w:rsid w:val="000578C4"/>
    <w:rsid w:val="000620BE"/>
    <w:rsid w:val="00062B48"/>
    <w:rsid w:val="000632A5"/>
    <w:rsid w:val="00064585"/>
    <w:rsid w:val="00065130"/>
    <w:rsid w:val="0006640F"/>
    <w:rsid w:val="00075BCB"/>
    <w:rsid w:val="00076E03"/>
    <w:rsid w:val="000802E9"/>
    <w:rsid w:val="00081354"/>
    <w:rsid w:val="00084A50"/>
    <w:rsid w:val="0008576A"/>
    <w:rsid w:val="000860D9"/>
    <w:rsid w:val="00087D63"/>
    <w:rsid w:val="000921F9"/>
    <w:rsid w:val="0009329E"/>
    <w:rsid w:val="00094255"/>
    <w:rsid w:val="000A068A"/>
    <w:rsid w:val="000A0830"/>
    <w:rsid w:val="000A088A"/>
    <w:rsid w:val="000A176E"/>
    <w:rsid w:val="000A1CEC"/>
    <w:rsid w:val="000A216D"/>
    <w:rsid w:val="000A289F"/>
    <w:rsid w:val="000A3650"/>
    <w:rsid w:val="000A56BD"/>
    <w:rsid w:val="000A5DD1"/>
    <w:rsid w:val="000B00F7"/>
    <w:rsid w:val="000B04E5"/>
    <w:rsid w:val="000B4106"/>
    <w:rsid w:val="000B5DB9"/>
    <w:rsid w:val="000C245F"/>
    <w:rsid w:val="000C6312"/>
    <w:rsid w:val="000C766B"/>
    <w:rsid w:val="000D37B0"/>
    <w:rsid w:val="000D4C0A"/>
    <w:rsid w:val="000D5280"/>
    <w:rsid w:val="000E0050"/>
    <w:rsid w:val="000E011C"/>
    <w:rsid w:val="000E4D6E"/>
    <w:rsid w:val="000E5441"/>
    <w:rsid w:val="000E710E"/>
    <w:rsid w:val="000F2C5E"/>
    <w:rsid w:val="000F30A3"/>
    <w:rsid w:val="000F71FC"/>
    <w:rsid w:val="00100568"/>
    <w:rsid w:val="00101365"/>
    <w:rsid w:val="00101B03"/>
    <w:rsid w:val="00102C54"/>
    <w:rsid w:val="001173C7"/>
    <w:rsid w:val="00120326"/>
    <w:rsid w:val="00120786"/>
    <w:rsid w:val="00122021"/>
    <w:rsid w:val="001233EE"/>
    <w:rsid w:val="00126DF4"/>
    <w:rsid w:val="00130213"/>
    <w:rsid w:val="001302E1"/>
    <w:rsid w:val="00131825"/>
    <w:rsid w:val="00134F8D"/>
    <w:rsid w:val="00135AAC"/>
    <w:rsid w:val="001369FF"/>
    <w:rsid w:val="00136B86"/>
    <w:rsid w:val="0013788F"/>
    <w:rsid w:val="00141918"/>
    <w:rsid w:val="00141962"/>
    <w:rsid w:val="0014341C"/>
    <w:rsid w:val="00143F27"/>
    <w:rsid w:val="00144186"/>
    <w:rsid w:val="00146863"/>
    <w:rsid w:val="00146E7C"/>
    <w:rsid w:val="0014724D"/>
    <w:rsid w:val="001508DD"/>
    <w:rsid w:val="00152926"/>
    <w:rsid w:val="00152DF0"/>
    <w:rsid w:val="0015403F"/>
    <w:rsid w:val="001560B0"/>
    <w:rsid w:val="001563D7"/>
    <w:rsid w:val="00160120"/>
    <w:rsid w:val="00160A3A"/>
    <w:rsid w:val="00161180"/>
    <w:rsid w:val="00161550"/>
    <w:rsid w:val="00161630"/>
    <w:rsid w:val="00161827"/>
    <w:rsid w:val="00161F31"/>
    <w:rsid w:val="001635BD"/>
    <w:rsid w:val="00163C7D"/>
    <w:rsid w:val="00163D97"/>
    <w:rsid w:val="001651F9"/>
    <w:rsid w:val="00170934"/>
    <w:rsid w:val="00177BF1"/>
    <w:rsid w:val="00182335"/>
    <w:rsid w:val="001824D0"/>
    <w:rsid w:val="0018256D"/>
    <w:rsid w:val="0018309D"/>
    <w:rsid w:val="0018773A"/>
    <w:rsid w:val="001952F0"/>
    <w:rsid w:val="0019576D"/>
    <w:rsid w:val="00195AF7"/>
    <w:rsid w:val="00197218"/>
    <w:rsid w:val="001A1576"/>
    <w:rsid w:val="001A505E"/>
    <w:rsid w:val="001A5841"/>
    <w:rsid w:val="001A71FC"/>
    <w:rsid w:val="001A7FA0"/>
    <w:rsid w:val="001B0516"/>
    <w:rsid w:val="001B0519"/>
    <w:rsid w:val="001B14CA"/>
    <w:rsid w:val="001B564C"/>
    <w:rsid w:val="001B570F"/>
    <w:rsid w:val="001B6AC5"/>
    <w:rsid w:val="001B6BC2"/>
    <w:rsid w:val="001C23F9"/>
    <w:rsid w:val="001C57CE"/>
    <w:rsid w:val="001C5BBC"/>
    <w:rsid w:val="001C64E3"/>
    <w:rsid w:val="001C75E6"/>
    <w:rsid w:val="001C7CDA"/>
    <w:rsid w:val="001D26BE"/>
    <w:rsid w:val="001D42DB"/>
    <w:rsid w:val="001D7334"/>
    <w:rsid w:val="001E0898"/>
    <w:rsid w:val="001E1907"/>
    <w:rsid w:val="001E4487"/>
    <w:rsid w:val="001E4C41"/>
    <w:rsid w:val="001E5390"/>
    <w:rsid w:val="001F00B3"/>
    <w:rsid w:val="001F010A"/>
    <w:rsid w:val="001F10BD"/>
    <w:rsid w:val="001F2D27"/>
    <w:rsid w:val="001F334E"/>
    <w:rsid w:val="001F5705"/>
    <w:rsid w:val="0020017B"/>
    <w:rsid w:val="00201EF4"/>
    <w:rsid w:val="00203033"/>
    <w:rsid w:val="0020692F"/>
    <w:rsid w:val="00211759"/>
    <w:rsid w:val="00214401"/>
    <w:rsid w:val="0021476D"/>
    <w:rsid w:val="00216224"/>
    <w:rsid w:val="00223DC2"/>
    <w:rsid w:val="00226CA3"/>
    <w:rsid w:val="00227A52"/>
    <w:rsid w:val="00231359"/>
    <w:rsid w:val="00232C52"/>
    <w:rsid w:val="002372AE"/>
    <w:rsid w:val="00237C58"/>
    <w:rsid w:val="002469F9"/>
    <w:rsid w:val="00246A3C"/>
    <w:rsid w:val="00247590"/>
    <w:rsid w:val="00247D2B"/>
    <w:rsid w:val="00247FF4"/>
    <w:rsid w:val="0025053A"/>
    <w:rsid w:val="002512AC"/>
    <w:rsid w:val="00252E2E"/>
    <w:rsid w:val="0025644A"/>
    <w:rsid w:val="00260BE0"/>
    <w:rsid w:val="00262309"/>
    <w:rsid w:val="00270954"/>
    <w:rsid w:val="002714A0"/>
    <w:rsid w:val="0027189D"/>
    <w:rsid w:val="0027235D"/>
    <w:rsid w:val="0027330B"/>
    <w:rsid w:val="002735AC"/>
    <w:rsid w:val="00273ABE"/>
    <w:rsid w:val="00283BC8"/>
    <w:rsid w:val="00283EEB"/>
    <w:rsid w:val="00284BF0"/>
    <w:rsid w:val="00285BF4"/>
    <w:rsid w:val="002862C4"/>
    <w:rsid w:val="0028671B"/>
    <w:rsid w:val="00286B3F"/>
    <w:rsid w:val="00287F0B"/>
    <w:rsid w:val="00290314"/>
    <w:rsid w:val="00290E82"/>
    <w:rsid w:val="00291A0C"/>
    <w:rsid w:val="00293BE7"/>
    <w:rsid w:val="00295ADE"/>
    <w:rsid w:val="0029697F"/>
    <w:rsid w:val="002A3491"/>
    <w:rsid w:val="002A4BC3"/>
    <w:rsid w:val="002A4C12"/>
    <w:rsid w:val="002A675E"/>
    <w:rsid w:val="002B1C8A"/>
    <w:rsid w:val="002B2BFE"/>
    <w:rsid w:val="002B3474"/>
    <w:rsid w:val="002B504F"/>
    <w:rsid w:val="002B561D"/>
    <w:rsid w:val="002B5A92"/>
    <w:rsid w:val="002B73B4"/>
    <w:rsid w:val="002C102F"/>
    <w:rsid w:val="002C11CD"/>
    <w:rsid w:val="002C20C0"/>
    <w:rsid w:val="002C4D09"/>
    <w:rsid w:val="002C6BB0"/>
    <w:rsid w:val="002C77FE"/>
    <w:rsid w:val="002C7D94"/>
    <w:rsid w:val="002D1731"/>
    <w:rsid w:val="002D3935"/>
    <w:rsid w:val="002D4AA1"/>
    <w:rsid w:val="002D6508"/>
    <w:rsid w:val="002E08B0"/>
    <w:rsid w:val="002E1896"/>
    <w:rsid w:val="002E2567"/>
    <w:rsid w:val="002E532D"/>
    <w:rsid w:val="002F19CE"/>
    <w:rsid w:val="002F1FAD"/>
    <w:rsid w:val="002F4DF3"/>
    <w:rsid w:val="002F59A5"/>
    <w:rsid w:val="002F5A78"/>
    <w:rsid w:val="002F5ED0"/>
    <w:rsid w:val="00301065"/>
    <w:rsid w:val="00301197"/>
    <w:rsid w:val="003053DA"/>
    <w:rsid w:val="003135E9"/>
    <w:rsid w:val="00314A11"/>
    <w:rsid w:val="0031759E"/>
    <w:rsid w:val="003225E4"/>
    <w:rsid w:val="00324FCB"/>
    <w:rsid w:val="003253E9"/>
    <w:rsid w:val="00326A59"/>
    <w:rsid w:val="00331F76"/>
    <w:rsid w:val="00332A5A"/>
    <w:rsid w:val="003344C2"/>
    <w:rsid w:val="003351F8"/>
    <w:rsid w:val="00335551"/>
    <w:rsid w:val="003414F0"/>
    <w:rsid w:val="00343169"/>
    <w:rsid w:val="00343C15"/>
    <w:rsid w:val="0035019D"/>
    <w:rsid w:val="00351A2D"/>
    <w:rsid w:val="003530E9"/>
    <w:rsid w:val="00353B4A"/>
    <w:rsid w:val="00354F57"/>
    <w:rsid w:val="0035680D"/>
    <w:rsid w:val="00357810"/>
    <w:rsid w:val="00360519"/>
    <w:rsid w:val="00360BC1"/>
    <w:rsid w:val="00363524"/>
    <w:rsid w:val="0036418B"/>
    <w:rsid w:val="00366B23"/>
    <w:rsid w:val="00373793"/>
    <w:rsid w:val="00375751"/>
    <w:rsid w:val="00375BFB"/>
    <w:rsid w:val="00377FEE"/>
    <w:rsid w:val="003814A8"/>
    <w:rsid w:val="003823B7"/>
    <w:rsid w:val="0038254B"/>
    <w:rsid w:val="00382F66"/>
    <w:rsid w:val="00391759"/>
    <w:rsid w:val="00397733"/>
    <w:rsid w:val="00397736"/>
    <w:rsid w:val="003A1170"/>
    <w:rsid w:val="003A21FD"/>
    <w:rsid w:val="003A28BC"/>
    <w:rsid w:val="003A3A3B"/>
    <w:rsid w:val="003A68BF"/>
    <w:rsid w:val="003A708E"/>
    <w:rsid w:val="003B01C0"/>
    <w:rsid w:val="003B13DE"/>
    <w:rsid w:val="003B194B"/>
    <w:rsid w:val="003B311D"/>
    <w:rsid w:val="003B3AEE"/>
    <w:rsid w:val="003B60B6"/>
    <w:rsid w:val="003B7033"/>
    <w:rsid w:val="003B7D75"/>
    <w:rsid w:val="003B7DDE"/>
    <w:rsid w:val="003C113C"/>
    <w:rsid w:val="003C20A1"/>
    <w:rsid w:val="003C2F1E"/>
    <w:rsid w:val="003C3F6D"/>
    <w:rsid w:val="003C41D3"/>
    <w:rsid w:val="003C504C"/>
    <w:rsid w:val="003C53B0"/>
    <w:rsid w:val="003C57C0"/>
    <w:rsid w:val="003C584F"/>
    <w:rsid w:val="003C6B16"/>
    <w:rsid w:val="003C7953"/>
    <w:rsid w:val="003D09C1"/>
    <w:rsid w:val="003D1CCB"/>
    <w:rsid w:val="003D2025"/>
    <w:rsid w:val="003D2378"/>
    <w:rsid w:val="003D518B"/>
    <w:rsid w:val="003D5214"/>
    <w:rsid w:val="003D69D7"/>
    <w:rsid w:val="003E26FB"/>
    <w:rsid w:val="003E4042"/>
    <w:rsid w:val="003E4905"/>
    <w:rsid w:val="003E75EC"/>
    <w:rsid w:val="003F0C58"/>
    <w:rsid w:val="003F199C"/>
    <w:rsid w:val="003F660B"/>
    <w:rsid w:val="003F7DB0"/>
    <w:rsid w:val="003F7E43"/>
    <w:rsid w:val="0040161C"/>
    <w:rsid w:val="00407528"/>
    <w:rsid w:val="0041156E"/>
    <w:rsid w:val="00411996"/>
    <w:rsid w:val="004136EC"/>
    <w:rsid w:val="00414459"/>
    <w:rsid w:val="00416C5D"/>
    <w:rsid w:val="00421B02"/>
    <w:rsid w:val="0042431D"/>
    <w:rsid w:val="00426B05"/>
    <w:rsid w:val="00427B08"/>
    <w:rsid w:val="004337EE"/>
    <w:rsid w:val="00434B94"/>
    <w:rsid w:val="00435C3C"/>
    <w:rsid w:val="00437CDE"/>
    <w:rsid w:val="004403D0"/>
    <w:rsid w:val="00440FBB"/>
    <w:rsid w:val="004425FF"/>
    <w:rsid w:val="00442ABD"/>
    <w:rsid w:val="00442B60"/>
    <w:rsid w:val="00442BE3"/>
    <w:rsid w:val="0044319A"/>
    <w:rsid w:val="00444024"/>
    <w:rsid w:val="004459A0"/>
    <w:rsid w:val="00446B06"/>
    <w:rsid w:val="00453BE9"/>
    <w:rsid w:val="004541D8"/>
    <w:rsid w:val="00454606"/>
    <w:rsid w:val="00454AA5"/>
    <w:rsid w:val="00457C8A"/>
    <w:rsid w:val="00461D6E"/>
    <w:rsid w:val="00464C92"/>
    <w:rsid w:val="004657D1"/>
    <w:rsid w:val="0046691A"/>
    <w:rsid w:val="00471285"/>
    <w:rsid w:val="004768CE"/>
    <w:rsid w:val="00477B14"/>
    <w:rsid w:val="00480719"/>
    <w:rsid w:val="004822F7"/>
    <w:rsid w:val="00484052"/>
    <w:rsid w:val="00487F63"/>
    <w:rsid w:val="00490B56"/>
    <w:rsid w:val="00490B63"/>
    <w:rsid w:val="00495264"/>
    <w:rsid w:val="00495DF5"/>
    <w:rsid w:val="0049608B"/>
    <w:rsid w:val="004A0B35"/>
    <w:rsid w:val="004A0BDC"/>
    <w:rsid w:val="004A24CC"/>
    <w:rsid w:val="004A3AFA"/>
    <w:rsid w:val="004B0366"/>
    <w:rsid w:val="004B1C84"/>
    <w:rsid w:val="004B440E"/>
    <w:rsid w:val="004B6A50"/>
    <w:rsid w:val="004C1A63"/>
    <w:rsid w:val="004C1F92"/>
    <w:rsid w:val="004C4B48"/>
    <w:rsid w:val="004C4D9F"/>
    <w:rsid w:val="004C4F14"/>
    <w:rsid w:val="004C7C4C"/>
    <w:rsid w:val="004D2D2A"/>
    <w:rsid w:val="004D48FF"/>
    <w:rsid w:val="004D5A0A"/>
    <w:rsid w:val="004D5B30"/>
    <w:rsid w:val="004E063E"/>
    <w:rsid w:val="004E117A"/>
    <w:rsid w:val="004E1659"/>
    <w:rsid w:val="004E1C40"/>
    <w:rsid w:val="004E2F29"/>
    <w:rsid w:val="004E3EF3"/>
    <w:rsid w:val="004E4D73"/>
    <w:rsid w:val="004E60B0"/>
    <w:rsid w:val="004E66F1"/>
    <w:rsid w:val="004E69DA"/>
    <w:rsid w:val="004E7541"/>
    <w:rsid w:val="004E7EF0"/>
    <w:rsid w:val="004F107F"/>
    <w:rsid w:val="004F2A6D"/>
    <w:rsid w:val="004F2C3D"/>
    <w:rsid w:val="004F308D"/>
    <w:rsid w:val="004F3883"/>
    <w:rsid w:val="004F4D8F"/>
    <w:rsid w:val="004F56D2"/>
    <w:rsid w:val="004F58F5"/>
    <w:rsid w:val="004F733E"/>
    <w:rsid w:val="00500ED2"/>
    <w:rsid w:val="005019BC"/>
    <w:rsid w:val="005019BE"/>
    <w:rsid w:val="00501C51"/>
    <w:rsid w:val="00502420"/>
    <w:rsid w:val="00503CE6"/>
    <w:rsid w:val="00504C4F"/>
    <w:rsid w:val="00505A5C"/>
    <w:rsid w:val="005110FB"/>
    <w:rsid w:val="00511801"/>
    <w:rsid w:val="00513AD9"/>
    <w:rsid w:val="005171F1"/>
    <w:rsid w:val="00520510"/>
    <w:rsid w:val="00524B3A"/>
    <w:rsid w:val="00534A63"/>
    <w:rsid w:val="00535D98"/>
    <w:rsid w:val="0053726F"/>
    <w:rsid w:val="0054381B"/>
    <w:rsid w:val="00546CD4"/>
    <w:rsid w:val="00547246"/>
    <w:rsid w:val="005475E2"/>
    <w:rsid w:val="0055224C"/>
    <w:rsid w:val="00555FB7"/>
    <w:rsid w:val="005607FE"/>
    <w:rsid w:val="00560A50"/>
    <w:rsid w:val="0056292C"/>
    <w:rsid w:val="00564DC8"/>
    <w:rsid w:val="005656BA"/>
    <w:rsid w:val="0056583C"/>
    <w:rsid w:val="00565DBF"/>
    <w:rsid w:val="0057587A"/>
    <w:rsid w:val="00576435"/>
    <w:rsid w:val="005822AD"/>
    <w:rsid w:val="00585B1B"/>
    <w:rsid w:val="0059052C"/>
    <w:rsid w:val="00595DD9"/>
    <w:rsid w:val="0059719E"/>
    <w:rsid w:val="00597C46"/>
    <w:rsid w:val="005A44B8"/>
    <w:rsid w:val="005A49BE"/>
    <w:rsid w:val="005A4B84"/>
    <w:rsid w:val="005A5576"/>
    <w:rsid w:val="005A6CBC"/>
    <w:rsid w:val="005A7DA7"/>
    <w:rsid w:val="005B4F08"/>
    <w:rsid w:val="005B4F7A"/>
    <w:rsid w:val="005C1261"/>
    <w:rsid w:val="005C6EA9"/>
    <w:rsid w:val="005D2044"/>
    <w:rsid w:val="005D2284"/>
    <w:rsid w:val="005D3768"/>
    <w:rsid w:val="005D71A3"/>
    <w:rsid w:val="005E0272"/>
    <w:rsid w:val="005E125A"/>
    <w:rsid w:val="005E2135"/>
    <w:rsid w:val="005E264B"/>
    <w:rsid w:val="005E5533"/>
    <w:rsid w:val="005F2C06"/>
    <w:rsid w:val="005F2DE6"/>
    <w:rsid w:val="005F333F"/>
    <w:rsid w:val="005F6D4E"/>
    <w:rsid w:val="005F6FBF"/>
    <w:rsid w:val="006067BD"/>
    <w:rsid w:val="0061052B"/>
    <w:rsid w:val="00614B61"/>
    <w:rsid w:val="0061741E"/>
    <w:rsid w:val="006214B0"/>
    <w:rsid w:val="0062157E"/>
    <w:rsid w:val="006242A1"/>
    <w:rsid w:val="00625EA7"/>
    <w:rsid w:val="00625F54"/>
    <w:rsid w:val="006262F1"/>
    <w:rsid w:val="006303D3"/>
    <w:rsid w:val="00631209"/>
    <w:rsid w:val="006333DF"/>
    <w:rsid w:val="00634F25"/>
    <w:rsid w:val="00635F23"/>
    <w:rsid w:val="00647CBB"/>
    <w:rsid w:val="00652676"/>
    <w:rsid w:val="0065386C"/>
    <w:rsid w:val="00656FA3"/>
    <w:rsid w:val="0066117A"/>
    <w:rsid w:val="0066244C"/>
    <w:rsid w:val="00665FB0"/>
    <w:rsid w:val="00666D9F"/>
    <w:rsid w:val="00670C75"/>
    <w:rsid w:val="00671687"/>
    <w:rsid w:val="006738D5"/>
    <w:rsid w:val="00676101"/>
    <w:rsid w:val="0067624F"/>
    <w:rsid w:val="006768CA"/>
    <w:rsid w:val="006850FB"/>
    <w:rsid w:val="0068694D"/>
    <w:rsid w:val="006943F9"/>
    <w:rsid w:val="00695D5A"/>
    <w:rsid w:val="006964B1"/>
    <w:rsid w:val="006965DF"/>
    <w:rsid w:val="006967D2"/>
    <w:rsid w:val="0069697B"/>
    <w:rsid w:val="006971D2"/>
    <w:rsid w:val="006A08AF"/>
    <w:rsid w:val="006A11A3"/>
    <w:rsid w:val="006A5B7B"/>
    <w:rsid w:val="006A5CA3"/>
    <w:rsid w:val="006A71AF"/>
    <w:rsid w:val="006A73B5"/>
    <w:rsid w:val="006B02A1"/>
    <w:rsid w:val="006C29FA"/>
    <w:rsid w:val="006C4E87"/>
    <w:rsid w:val="006D005F"/>
    <w:rsid w:val="006D2227"/>
    <w:rsid w:val="006D418D"/>
    <w:rsid w:val="006D50A3"/>
    <w:rsid w:val="006D6D0A"/>
    <w:rsid w:val="006D6E5B"/>
    <w:rsid w:val="006E54B3"/>
    <w:rsid w:val="006E5C4A"/>
    <w:rsid w:val="006E5D94"/>
    <w:rsid w:val="006E75E7"/>
    <w:rsid w:val="006F1D46"/>
    <w:rsid w:val="006F2D85"/>
    <w:rsid w:val="00700DF6"/>
    <w:rsid w:val="007038DB"/>
    <w:rsid w:val="00703C93"/>
    <w:rsid w:val="00703EE6"/>
    <w:rsid w:val="007056B4"/>
    <w:rsid w:val="00710082"/>
    <w:rsid w:val="007135B7"/>
    <w:rsid w:val="00716DCD"/>
    <w:rsid w:val="00721E47"/>
    <w:rsid w:val="0072323A"/>
    <w:rsid w:val="007238BE"/>
    <w:rsid w:val="00725FD1"/>
    <w:rsid w:val="00731262"/>
    <w:rsid w:val="00733087"/>
    <w:rsid w:val="00733AA3"/>
    <w:rsid w:val="00733B34"/>
    <w:rsid w:val="00735D5F"/>
    <w:rsid w:val="00736647"/>
    <w:rsid w:val="00736701"/>
    <w:rsid w:val="00740678"/>
    <w:rsid w:val="00740FAF"/>
    <w:rsid w:val="0074233E"/>
    <w:rsid w:val="0074504C"/>
    <w:rsid w:val="00750095"/>
    <w:rsid w:val="00753244"/>
    <w:rsid w:val="00756801"/>
    <w:rsid w:val="00756941"/>
    <w:rsid w:val="00757CEF"/>
    <w:rsid w:val="00762007"/>
    <w:rsid w:val="007637AF"/>
    <w:rsid w:val="007644DB"/>
    <w:rsid w:val="00772683"/>
    <w:rsid w:val="0077392B"/>
    <w:rsid w:val="00774EA3"/>
    <w:rsid w:val="00776655"/>
    <w:rsid w:val="00777911"/>
    <w:rsid w:val="00781627"/>
    <w:rsid w:val="007842A7"/>
    <w:rsid w:val="00784A19"/>
    <w:rsid w:val="00784F7C"/>
    <w:rsid w:val="0078529F"/>
    <w:rsid w:val="00786F42"/>
    <w:rsid w:val="00793DB3"/>
    <w:rsid w:val="007941AC"/>
    <w:rsid w:val="00795007"/>
    <w:rsid w:val="007A02E6"/>
    <w:rsid w:val="007A050C"/>
    <w:rsid w:val="007A0A23"/>
    <w:rsid w:val="007A12E9"/>
    <w:rsid w:val="007A3990"/>
    <w:rsid w:val="007A6B7A"/>
    <w:rsid w:val="007B0CF1"/>
    <w:rsid w:val="007B5197"/>
    <w:rsid w:val="007B6921"/>
    <w:rsid w:val="007C22E1"/>
    <w:rsid w:val="007C2A42"/>
    <w:rsid w:val="007C35B1"/>
    <w:rsid w:val="007C3B8E"/>
    <w:rsid w:val="007C7313"/>
    <w:rsid w:val="007D0DB1"/>
    <w:rsid w:val="007D0E1A"/>
    <w:rsid w:val="007D1227"/>
    <w:rsid w:val="007D1740"/>
    <w:rsid w:val="007D1C4D"/>
    <w:rsid w:val="007D3BF7"/>
    <w:rsid w:val="007D576D"/>
    <w:rsid w:val="007E1C23"/>
    <w:rsid w:val="007E3A5B"/>
    <w:rsid w:val="007E3EA7"/>
    <w:rsid w:val="007E4901"/>
    <w:rsid w:val="007E4DFF"/>
    <w:rsid w:val="007E5A02"/>
    <w:rsid w:val="007E7803"/>
    <w:rsid w:val="007F275C"/>
    <w:rsid w:val="007F3983"/>
    <w:rsid w:val="007F444E"/>
    <w:rsid w:val="007F46E2"/>
    <w:rsid w:val="007F4DC4"/>
    <w:rsid w:val="007F678F"/>
    <w:rsid w:val="00801CA0"/>
    <w:rsid w:val="00802AD0"/>
    <w:rsid w:val="008039F5"/>
    <w:rsid w:val="00803DDE"/>
    <w:rsid w:val="00804835"/>
    <w:rsid w:val="008062AF"/>
    <w:rsid w:val="00806C24"/>
    <w:rsid w:val="00810777"/>
    <w:rsid w:val="00811753"/>
    <w:rsid w:val="00812480"/>
    <w:rsid w:val="00817CD4"/>
    <w:rsid w:val="00820571"/>
    <w:rsid w:val="008212C4"/>
    <w:rsid w:val="00821674"/>
    <w:rsid w:val="008222FF"/>
    <w:rsid w:val="008241AB"/>
    <w:rsid w:val="00825C31"/>
    <w:rsid w:val="0082632E"/>
    <w:rsid w:val="008329FF"/>
    <w:rsid w:val="00834360"/>
    <w:rsid w:val="00834AA7"/>
    <w:rsid w:val="00837A58"/>
    <w:rsid w:val="00840052"/>
    <w:rsid w:val="00842F40"/>
    <w:rsid w:val="008436D3"/>
    <w:rsid w:val="008475DF"/>
    <w:rsid w:val="00852BB6"/>
    <w:rsid w:val="00852D31"/>
    <w:rsid w:val="0085597A"/>
    <w:rsid w:val="00860BCF"/>
    <w:rsid w:val="008625C0"/>
    <w:rsid w:val="00872DEB"/>
    <w:rsid w:val="00873A26"/>
    <w:rsid w:val="00873C0B"/>
    <w:rsid w:val="00873DF7"/>
    <w:rsid w:val="00877402"/>
    <w:rsid w:val="0088050C"/>
    <w:rsid w:val="00885653"/>
    <w:rsid w:val="00885E89"/>
    <w:rsid w:val="008868B2"/>
    <w:rsid w:val="008874A6"/>
    <w:rsid w:val="00890E8A"/>
    <w:rsid w:val="00892400"/>
    <w:rsid w:val="008928AB"/>
    <w:rsid w:val="008938AF"/>
    <w:rsid w:val="00895AF9"/>
    <w:rsid w:val="00897EF0"/>
    <w:rsid w:val="008A0DFF"/>
    <w:rsid w:val="008A2761"/>
    <w:rsid w:val="008A6E72"/>
    <w:rsid w:val="008A7D59"/>
    <w:rsid w:val="008B170E"/>
    <w:rsid w:val="008B2898"/>
    <w:rsid w:val="008B2CF1"/>
    <w:rsid w:val="008B7911"/>
    <w:rsid w:val="008C06BA"/>
    <w:rsid w:val="008C0956"/>
    <w:rsid w:val="008C5003"/>
    <w:rsid w:val="008C536A"/>
    <w:rsid w:val="008C7B9D"/>
    <w:rsid w:val="008C7E8B"/>
    <w:rsid w:val="008C7F65"/>
    <w:rsid w:val="008D0480"/>
    <w:rsid w:val="008D1346"/>
    <w:rsid w:val="008D380F"/>
    <w:rsid w:val="008D646B"/>
    <w:rsid w:val="008E18DC"/>
    <w:rsid w:val="008E4FD7"/>
    <w:rsid w:val="008E6F45"/>
    <w:rsid w:val="008E712D"/>
    <w:rsid w:val="008F10A2"/>
    <w:rsid w:val="008F74EE"/>
    <w:rsid w:val="008F7B54"/>
    <w:rsid w:val="00901310"/>
    <w:rsid w:val="009054F4"/>
    <w:rsid w:val="00906304"/>
    <w:rsid w:val="00907480"/>
    <w:rsid w:val="00910B71"/>
    <w:rsid w:val="0091293D"/>
    <w:rsid w:val="0091362B"/>
    <w:rsid w:val="0091485E"/>
    <w:rsid w:val="00915768"/>
    <w:rsid w:val="009157E2"/>
    <w:rsid w:val="00917521"/>
    <w:rsid w:val="009203A0"/>
    <w:rsid w:val="00920AF5"/>
    <w:rsid w:val="00920F0F"/>
    <w:rsid w:val="0093385E"/>
    <w:rsid w:val="00936A09"/>
    <w:rsid w:val="00937215"/>
    <w:rsid w:val="009375F9"/>
    <w:rsid w:val="00946889"/>
    <w:rsid w:val="00946A55"/>
    <w:rsid w:val="00947AD0"/>
    <w:rsid w:val="00947E65"/>
    <w:rsid w:val="00952342"/>
    <w:rsid w:val="00952B84"/>
    <w:rsid w:val="009545D8"/>
    <w:rsid w:val="00954C7E"/>
    <w:rsid w:val="00955826"/>
    <w:rsid w:val="00955F4B"/>
    <w:rsid w:val="009601C4"/>
    <w:rsid w:val="009603E6"/>
    <w:rsid w:val="0096148D"/>
    <w:rsid w:val="009619DA"/>
    <w:rsid w:val="00962607"/>
    <w:rsid w:val="009642B2"/>
    <w:rsid w:val="009659BB"/>
    <w:rsid w:val="00973F92"/>
    <w:rsid w:val="009762B0"/>
    <w:rsid w:val="00976995"/>
    <w:rsid w:val="00976C95"/>
    <w:rsid w:val="00976F21"/>
    <w:rsid w:val="00977B35"/>
    <w:rsid w:val="00980C8C"/>
    <w:rsid w:val="00981CD4"/>
    <w:rsid w:val="00983B21"/>
    <w:rsid w:val="00993545"/>
    <w:rsid w:val="00995FFF"/>
    <w:rsid w:val="009A05F2"/>
    <w:rsid w:val="009A08E1"/>
    <w:rsid w:val="009A34BB"/>
    <w:rsid w:val="009B334E"/>
    <w:rsid w:val="009B3BBF"/>
    <w:rsid w:val="009B4227"/>
    <w:rsid w:val="009B4830"/>
    <w:rsid w:val="009B5C00"/>
    <w:rsid w:val="009C1FFE"/>
    <w:rsid w:val="009C21A6"/>
    <w:rsid w:val="009C3B12"/>
    <w:rsid w:val="009C5BFF"/>
    <w:rsid w:val="009D02AF"/>
    <w:rsid w:val="009D3C3D"/>
    <w:rsid w:val="009D4793"/>
    <w:rsid w:val="009D5164"/>
    <w:rsid w:val="009D782F"/>
    <w:rsid w:val="009E1474"/>
    <w:rsid w:val="009E54F4"/>
    <w:rsid w:val="009E5CF7"/>
    <w:rsid w:val="009F1599"/>
    <w:rsid w:val="009F15F2"/>
    <w:rsid w:val="009F2F64"/>
    <w:rsid w:val="009F3029"/>
    <w:rsid w:val="009F34CA"/>
    <w:rsid w:val="009F7AEE"/>
    <w:rsid w:val="00A01D92"/>
    <w:rsid w:val="00A029E9"/>
    <w:rsid w:val="00A036B1"/>
    <w:rsid w:val="00A06719"/>
    <w:rsid w:val="00A068ED"/>
    <w:rsid w:val="00A12405"/>
    <w:rsid w:val="00A13108"/>
    <w:rsid w:val="00A16926"/>
    <w:rsid w:val="00A17404"/>
    <w:rsid w:val="00A22254"/>
    <w:rsid w:val="00A24BEE"/>
    <w:rsid w:val="00A25695"/>
    <w:rsid w:val="00A256F4"/>
    <w:rsid w:val="00A2734D"/>
    <w:rsid w:val="00A303F6"/>
    <w:rsid w:val="00A311E8"/>
    <w:rsid w:val="00A323C9"/>
    <w:rsid w:val="00A32BD4"/>
    <w:rsid w:val="00A4071C"/>
    <w:rsid w:val="00A43418"/>
    <w:rsid w:val="00A45441"/>
    <w:rsid w:val="00A46AFB"/>
    <w:rsid w:val="00A519F2"/>
    <w:rsid w:val="00A51D8E"/>
    <w:rsid w:val="00A52441"/>
    <w:rsid w:val="00A5305E"/>
    <w:rsid w:val="00A54A6C"/>
    <w:rsid w:val="00A5606C"/>
    <w:rsid w:val="00A57723"/>
    <w:rsid w:val="00A60764"/>
    <w:rsid w:val="00A61C7D"/>
    <w:rsid w:val="00A67C18"/>
    <w:rsid w:val="00A7364D"/>
    <w:rsid w:val="00A73E60"/>
    <w:rsid w:val="00A74AD4"/>
    <w:rsid w:val="00A771AB"/>
    <w:rsid w:val="00A778DF"/>
    <w:rsid w:val="00A8151B"/>
    <w:rsid w:val="00A8213B"/>
    <w:rsid w:val="00A8388C"/>
    <w:rsid w:val="00A83C51"/>
    <w:rsid w:val="00A9238D"/>
    <w:rsid w:val="00A958C4"/>
    <w:rsid w:val="00AA46ED"/>
    <w:rsid w:val="00AB744D"/>
    <w:rsid w:val="00AC0B73"/>
    <w:rsid w:val="00AC1581"/>
    <w:rsid w:val="00AC2E7B"/>
    <w:rsid w:val="00AC3E90"/>
    <w:rsid w:val="00AD2191"/>
    <w:rsid w:val="00AD2C00"/>
    <w:rsid w:val="00AD48BE"/>
    <w:rsid w:val="00AD5BCF"/>
    <w:rsid w:val="00AD759D"/>
    <w:rsid w:val="00AD7721"/>
    <w:rsid w:val="00AE1174"/>
    <w:rsid w:val="00AE1F7A"/>
    <w:rsid w:val="00AE4C71"/>
    <w:rsid w:val="00AF0E12"/>
    <w:rsid w:val="00AF26E0"/>
    <w:rsid w:val="00AF3805"/>
    <w:rsid w:val="00AF549F"/>
    <w:rsid w:val="00AF57C8"/>
    <w:rsid w:val="00AF7221"/>
    <w:rsid w:val="00AF7D55"/>
    <w:rsid w:val="00B00037"/>
    <w:rsid w:val="00B00F96"/>
    <w:rsid w:val="00B01AFE"/>
    <w:rsid w:val="00B034AC"/>
    <w:rsid w:val="00B05237"/>
    <w:rsid w:val="00B05C20"/>
    <w:rsid w:val="00B0751A"/>
    <w:rsid w:val="00B0780C"/>
    <w:rsid w:val="00B10A03"/>
    <w:rsid w:val="00B12AAF"/>
    <w:rsid w:val="00B156D3"/>
    <w:rsid w:val="00B163AC"/>
    <w:rsid w:val="00B17C3A"/>
    <w:rsid w:val="00B20017"/>
    <w:rsid w:val="00B20BE7"/>
    <w:rsid w:val="00B21F69"/>
    <w:rsid w:val="00B2310F"/>
    <w:rsid w:val="00B239B3"/>
    <w:rsid w:val="00B25E3B"/>
    <w:rsid w:val="00B26BA1"/>
    <w:rsid w:val="00B314C2"/>
    <w:rsid w:val="00B31EF3"/>
    <w:rsid w:val="00B41CE5"/>
    <w:rsid w:val="00B45071"/>
    <w:rsid w:val="00B4565B"/>
    <w:rsid w:val="00B45C10"/>
    <w:rsid w:val="00B47C92"/>
    <w:rsid w:val="00B50017"/>
    <w:rsid w:val="00B5029D"/>
    <w:rsid w:val="00B50930"/>
    <w:rsid w:val="00B54183"/>
    <w:rsid w:val="00B547B0"/>
    <w:rsid w:val="00B54C06"/>
    <w:rsid w:val="00B57E2E"/>
    <w:rsid w:val="00B62C9D"/>
    <w:rsid w:val="00B64304"/>
    <w:rsid w:val="00B653DB"/>
    <w:rsid w:val="00B6757F"/>
    <w:rsid w:val="00B72246"/>
    <w:rsid w:val="00B77099"/>
    <w:rsid w:val="00B770CE"/>
    <w:rsid w:val="00B80A32"/>
    <w:rsid w:val="00B86D65"/>
    <w:rsid w:val="00B90C27"/>
    <w:rsid w:val="00B9296D"/>
    <w:rsid w:val="00B92A72"/>
    <w:rsid w:val="00B94397"/>
    <w:rsid w:val="00B96723"/>
    <w:rsid w:val="00B97138"/>
    <w:rsid w:val="00BA03D4"/>
    <w:rsid w:val="00BA061E"/>
    <w:rsid w:val="00BA27E9"/>
    <w:rsid w:val="00BA3571"/>
    <w:rsid w:val="00BA79D6"/>
    <w:rsid w:val="00BB0F63"/>
    <w:rsid w:val="00BB13C0"/>
    <w:rsid w:val="00BB188F"/>
    <w:rsid w:val="00BB1E5A"/>
    <w:rsid w:val="00BB303A"/>
    <w:rsid w:val="00BB3E5A"/>
    <w:rsid w:val="00BB5122"/>
    <w:rsid w:val="00BB5ABD"/>
    <w:rsid w:val="00BB6E54"/>
    <w:rsid w:val="00BC2C2E"/>
    <w:rsid w:val="00BC5E2A"/>
    <w:rsid w:val="00BC7B1C"/>
    <w:rsid w:val="00BD27C2"/>
    <w:rsid w:val="00BD5E78"/>
    <w:rsid w:val="00BD71E9"/>
    <w:rsid w:val="00BE1292"/>
    <w:rsid w:val="00BE4DDF"/>
    <w:rsid w:val="00BE6C9A"/>
    <w:rsid w:val="00BE78D4"/>
    <w:rsid w:val="00BF0C33"/>
    <w:rsid w:val="00BF23D3"/>
    <w:rsid w:val="00BF56AF"/>
    <w:rsid w:val="00BF6C2F"/>
    <w:rsid w:val="00BF7BEB"/>
    <w:rsid w:val="00C0348E"/>
    <w:rsid w:val="00C05B97"/>
    <w:rsid w:val="00C073C7"/>
    <w:rsid w:val="00C1200A"/>
    <w:rsid w:val="00C14134"/>
    <w:rsid w:val="00C14191"/>
    <w:rsid w:val="00C204B0"/>
    <w:rsid w:val="00C21AC4"/>
    <w:rsid w:val="00C21D5A"/>
    <w:rsid w:val="00C249F4"/>
    <w:rsid w:val="00C2518B"/>
    <w:rsid w:val="00C26CC2"/>
    <w:rsid w:val="00C26E8B"/>
    <w:rsid w:val="00C30765"/>
    <w:rsid w:val="00C32225"/>
    <w:rsid w:val="00C34384"/>
    <w:rsid w:val="00C34CA0"/>
    <w:rsid w:val="00C43DDC"/>
    <w:rsid w:val="00C473C9"/>
    <w:rsid w:val="00C4750A"/>
    <w:rsid w:val="00C6118D"/>
    <w:rsid w:val="00C65726"/>
    <w:rsid w:val="00C67AF8"/>
    <w:rsid w:val="00C70A4B"/>
    <w:rsid w:val="00C718F4"/>
    <w:rsid w:val="00C73A5A"/>
    <w:rsid w:val="00C73C84"/>
    <w:rsid w:val="00C74629"/>
    <w:rsid w:val="00C82699"/>
    <w:rsid w:val="00C84F19"/>
    <w:rsid w:val="00C85E44"/>
    <w:rsid w:val="00C870C3"/>
    <w:rsid w:val="00C9041A"/>
    <w:rsid w:val="00C90A65"/>
    <w:rsid w:val="00C90DF9"/>
    <w:rsid w:val="00C962FF"/>
    <w:rsid w:val="00C96970"/>
    <w:rsid w:val="00C969A3"/>
    <w:rsid w:val="00CA132A"/>
    <w:rsid w:val="00CA2EE3"/>
    <w:rsid w:val="00CA362B"/>
    <w:rsid w:val="00CA38A7"/>
    <w:rsid w:val="00CA49B8"/>
    <w:rsid w:val="00CA53AD"/>
    <w:rsid w:val="00CA6091"/>
    <w:rsid w:val="00CB1D64"/>
    <w:rsid w:val="00CB1F2F"/>
    <w:rsid w:val="00CB24DC"/>
    <w:rsid w:val="00CB286D"/>
    <w:rsid w:val="00CB3229"/>
    <w:rsid w:val="00CB5AF5"/>
    <w:rsid w:val="00CB7AD6"/>
    <w:rsid w:val="00CC0AEB"/>
    <w:rsid w:val="00CC3417"/>
    <w:rsid w:val="00CC391D"/>
    <w:rsid w:val="00CC5213"/>
    <w:rsid w:val="00CC5A12"/>
    <w:rsid w:val="00CC69F0"/>
    <w:rsid w:val="00CC7F84"/>
    <w:rsid w:val="00CD16C7"/>
    <w:rsid w:val="00CD398B"/>
    <w:rsid w:val="00CD3C39"/>
    <w:rsid w:val="00CD3DE1"/>
    <w:rsid w:val="00CD47E0"/>
    <w:rsid w:val="00CD7297"/>
    <w:rsid w:val="00CE3B92"/>
    <w:rsid w:val="00CE57D8"/>
    <w:rsid w:val="00CF2411"/>
    <w:rsid w:val="00CF6743"/>
    <w:rsid w:val="00CF6A7C"/>
    <w:rsid w:val="00CF7218"/>
    <w:rsid w:val="00D00626"/>
    <w:rsid w:val="00D00C30"/>
    <w:rsid w:val="00D019F4"/>
    <w:rsid w:val="00D04D0A"/>
    <w:rsid w:val="00D04EF6"/>
    <w:rsid w:val="00D055C3"/>
    <w:rsid w:val="00D06BB8"/>
    <w:rsid w:val="00D13090"/>
    <w:rsid w:val="00D14889"/>
    <w:rsid w:val="00D17928"/>
    <w:rsid w:val="00D20F3A"/>
    <w:rsid w:val="00D239A0"/>
    <w:rsid w:val="00D2461C"/>
    <w:rsid w:val="00D259FF"/>
    <w:rsid w:val="00D30ADD"/>
    <w:rsid w:val="00D31DB8"/>
    <w:rsid w:val="00D331DD"/>
    <w:rsid w:val="00D33E78"/>
    <w:rsid w:val="00D357CE"/>
    <w:rsid w:val="00D42179"/>
    <w:rsid w:val="00D42DF8"/>
    <w:rsid w:val="00D43491"/>
    <w:rsid w:val="00D44F81"/>
    <w:rsid w:val="00D452CD"/>
    <w:rsid w:val="00D46FAD"/>
    <w:rsid w:val="00D47281"/>
    <w:rsid w:val="00D52AAF"/>
    <w:rsid w:val="00D55CC4"/>
    <w:rsid w:val="00D62310"/>
    <w:rsid w:val="00D6571F"/>
    <w:rsid w:val="00D65B0E"/>
    <w:rsid w:val="00D66445"/>
    <w:rsid w:val="00D665AE"/>
    <w:rsid w:val="00D719AF"/>
    <w:rsid w:val="00D721A7"/>
    <w:rsid w:val="00D7258B"/>
    <w:rsid w:val="00D73156"/>
    <w:rsid w:val="00D7353E"/>
    <w:rsid w:val="00D73E33"/>
    <w:rsid w:val="00D74718"/>
    <w:rsid w:val="00D74EE1"/>
    <w:rsid w:val="00D76C96"/>
    <w:rsid w:val="00D770D0"/>
    <w:rsid w:val="00D8220E"/>
    <w:rsid w:val="00D835EA"/>
    <w:rsid w:val="00D873F9"/>
    <w:rsid w:val="00D87EC6"/>
    <w:rsid w:val="00D90CBF"/>
    <w:rsid w:val="00D91367"/>
    <w:rsid w:val="00D93E7B"/>
    <w:rsid w:val="00D94CA1"/>
    <w:rsid w:val="00D96554"/>
    <w:rsid w:val="00D97347"/>
    <w:rsid w:val="00D97FE1"/>
    <w:rsid w:val="00DA3D60"/>
    <w:rsid w:val="00DA6648"/>
    <w:rsid w:val="00DA7F89"/>
    <w:rsid w:val="00DB4472"/>
    <w:rsid w:val="00DB5C5A"/>
    <w:rsid w:val="00DC60BC"/>
    <w:rsid w:val="00DD54D1"/>
    <w:rsid w:val="00DD714A"/>
    <w:rsid w:val="00DD7382"/>
    <w:rsid w:val="00DD7CB4"/>
    <w:rsid w:val="00DE1BC0"/>
    <w:rsid w:val="00DE2156"/>
    <w:rsid w:val="00DE47BD"/>
    <w:rsid w:val="00DE5680"/>
    <w:rsid w:val="00DE6F8A"/>
    <w:rsid w:val="00DF41F8"/>
    <w:rsid w:val="00DF4DCE"/>
    <w:rsid w:val="00DF5091"/>
    <w:rsid w:val="00E00057"/>
    <w:rsid w:val="00E011E3"/>
    <w:rsid w:val="00E03C09"/>
    <w:rsid w:val="00E03ED2"/>
    <w:rsid w:val="00E07F4C"/>
    <w:rsid w:val="00E16AEB"/>
    <w:rsid w:val="00E16BF2"/>
    <w:rsid w:val="00E2075A"/>
    <w:rsid w:val="00E21D28"/>
    <w:rsid w:val="00E22AC5"/>
    <w:rsid w:val="00E25D5A"/>
    <w:rsid w:val="00E3262C"/>
    <w:rsid w:val="00E32DD6"/>
    <w:rsid w:val="00E34C89"/>
    <w:rsid w:val="00E36CE4"/>
    <w:rsid w:val="00E36FC0"/>
    <w:rsid w:val="00E37D2F"/>
    <w:rsid w:val="00E400CC"/>
    <w:rsid w:val="00E4157A"/>
    <w:rsid w:val="00E42742"/>
    <w:rsid w:val="00E433AE"/>
    <w:rsid w:val="00E44829"/>
    <w:rsid w:val="00E46354"/>
    <w:rsid w:val="00E470AE"/>
    <w:rsid w:val="00E513B1"/>
    <w:rsid w:val="00E51ED3"/>
    <w:rsid w:val="00E5280C"/>
    <w:rsid w:val="00E53F93"/>
    <w:rsid w:val="00E5578C"/>
    <w:rsid w:val="00E5737A"/>
    <w:rsid w:val="00E6236F"/>
    <w:rsid w:val="00E64CD5"/>
    <w:rsid w:val="00E653C0"/>
    <w:rsid w:val="00E65DBF"/>
    <w:rsid w:val="00E663A6"/>
    <w:rsid w:val="00E6787D"/>
    <w:rsid w:val="00E701BC"/>
    <w:rsid w:val="00E709C2"/>
    <w:rsid w:val="00E76DA9"/>
    <w:rsid w:val="00E77FD0"/>
    <w:rsid w:val="00E815F1"/>
    <w:rsid w:val="00E82EAB"/>
    <w:rsid w:val="00E85E03"/>
    <w:rsid w:val="00E86BFE"/>
    <w:rsid w:val="00E96464"/>
    <w:rsid w:val="00EA1D18"/>
    <w:rsid w:val="00EA2B5B"/>
    <w:rsid w:val="00EA2EF0"/>
    <w:rsid w:val="00EA41CE"/>
    <w:rsid w:val="00EA6EB4"/>
    <w:rsid w:val="00EA7D87"/>
    <w:rsid w:val="00EB1A38"/>
    <w:rsid w:val="00EB2EEA"/>
    <w:rsid w:val="00EB3FD8"/>
    <w:rsid w:val="00EB6F56"/>
    <w:rsid w:val="00EC1105"/>
    <w:rsid w:val="00EC2C2B"/>
    <w:rsid w:val="00EC2D89"/>
    <w:rsid w:val="00EC2F87"/>
    <w:rsid w:val="00EC3800"/>
    <w:rsid w:val="00EC4876"/>
    <w:rsid w:val="00EC5F62"/>
    <w:rsid w:val="00EC6073"/>
    <w:rsid w:val="00EC7D52"/>
    <w:rsid w:val="00ED011F"/>
    <w:rsid w:val="00ED021B"/>
    <w:rsid w:val="00ED04E3"/>
    <w:rsid w:val="00ED25D6"/>
    <w:rsid w:val="00ED2ABB"/>
    <w:rsid w:val="00ED475A"/>
    <w:rsid w:val="00ED7C1C"/>
    <w:rsid w:val="00EE00A4"/>
    <w:rsid w:val="00EE2304"/>
    <w:rsid w:val="00EE25F4"/>
    <w:rsid w:val="00EE2F9B"/>
    <w:rsid w:val="00EE4BBC"/>
    <w:rsid w:val="00EE4BED"/>
    <w:rsid w:val="00EE6B67"/>
    <w:rsid w:val="00EF4239"/>
    <w:rsid w:val="00EF5FCE"/>
    <w:rsid w:val="00EF6590"/>
    <w:rsid w:val="00F0328A"/>
    <w:rsid w:val="00F0415E"/>
    <w:rsid w:val="00F07216"/>
    <w:rsid w:val="00F075BC"/>
    <w:rsid w:val="00F07BD9"/>
    <w:rsid w:val="00F10C02"/>
    <w:rsid w:val="00F10C58"/>
    <w:rsid w:val="00F11149"/>
    <w:rsid w:val="00F117D5"/>
    <w:rsid w:val="00F12AC9"/>
    <w:rsid w:val="00F13355"/>
    <w:rsid w:val="00F13D79"/>
    <w:rsid w:val="00F16A7E"/>
    <w:rsid w:val="00F16FC9"/>
    <w:rsid w:val="00F211E5"/>
    <w:rsid w:val="00F21DB3"/>
    <w:rsid w:val="00F21EED"/>
    <w:rsid w:val="00F24879"/>
    <w:rsid w:val="00F30519"/>
    <w:rsid w:val="00F3537E"/>
    <w:rsid w:val="00F4005C"/>
    <w:rsid w:val="00F414C0"/>
    <w:rsid w:val="00F43141"/>
    <w:rsid w:val="00F4372D"/>
    <w:rsid w:val="00F4437E"/>
    <w:rsid w:val="00F476B5"/>
    <w:rsid w:val="00F51172"/>
    <w:rsid w:val="00F546C0"/>
    <w:rsid w:val="00F56E0B"/>
    <w:rsid w:val="00F61317"/>
    <w:rsid w:val="00F71774"/>
    <w:rsid w:val="00F72DC4"/>
    <w:rsid w:val="00F7306C"/>
    <w:rsid w:val="00F739D2"/>
    <w:rsid w:val="00F74372"/>
    <w:rsid w:val="00F75102"/>
    <w:rsid w:val="00F807C7"/>
    <w:rsid w:val="00F82AA1"/>
    <w:rsid w:val="00F83981"/>
    <w:rsid w:val="00F856DC"/>
    <w:rsid w:val="00F90A1A"/>
    <w:rsid w:val="00F90A92"/>
    <w:rsid w:val="00F910EA"/>
    <w:rsid w:val="00F9139B"/>
    <w:rsid w:val="00F92B46"/>
    <w:rsid w:val="00F93308"/>
    <w:rsid w:val="00F964D2"/>
    <w:rsid w:val="00FA0869"/>
    <w:rsid w:val="00FA096B"/>
    <w:rsid w:val="00FA563F"/>
    <w:rsid w:val="00FA5F59"/>
    <w:rsid w:val="00FA6425"/>
    <w:rsid w:val="00FB1912"/>
    <w:rsid w:val="00FB1C97"/>
    <w:rsid w:val="00FB2062"/>
    <w:rsid w:val="00FC1634"/>
    <w:rsid w:val="00FC1B57"/>
    <w:rsid w:val="00FC47A8"/>
    <w:rsid w:val="00FC55A5"/>
    <w:rsid w:val="00FC7FE0"/>
    <w:rsid w:val="00FD2D25"/>
    <w:rsid w:val="00FD3B69"/>
    <w:rsid w:val="00FD3E90"/>
    <w:rsid w:val="00FD4047"/>
    <w:rsid w:val="00FD4220"/>
    <w:rsid w:val="00FD4715"/>
    <w:rsid w:val="00FD78ED"/>
    <w:rsid w:val="00FE4AAD"/>
    <w:rsid w:val="00FE5E9C"/>
    <w:rsid w:val="00FE65BE"/>
    <w:rsid w:val="00FE693A"/>
    <w:rsid w:val="00FE7362"/>
    <w:rsid w:val="00FF12A6"/>
    <w:rsid w:val="00FF31F0"/>
    <w:rsid w:val="00FF49C9"/>
    <w:rsid w:val="00FF700C"/>
    <w:rsid w:val="00FF7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03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5403F"/>
    <w:rPr>
      <w:sz w:val="20"/>
      <w:szCs w:val="20"/>
    </w:rPr>
  </w:style>
  <w:style w:type="character" w:styleId="Refdenotaalpie">
    <w:name w:val="footnote reference"/>
    <w:basedOn w:val="Fuentedeprrafopredeter"/>
    <w:semiHidden/>
    <w:rsid w:val="0015403F"/>
    <w:rPr>
      <w:vertAlign w:val="superscript"/>
    </w:rPr>
  </w:style>
  <w:style w:type="paragraph" w:styleId="Encabezado">
    <w:name w:val="header"/>
    <w:basedOn w:val="Normal"/>
    <w:rsid w:val="0015403F"/>
    <w:pPr>
      <w:tabs>
        <w:tab w:val="center" w:pos="4252"/>
        <w:tab w:val="right" w:pos="8504"/>
      </w:tabs>
    </w:pPr>
  </w:style>
  <w:style w:type="paragraph" w:styleId="Piedepgina">
    <w:name w:val="footer"/>
    <w:basedOn w:val="Normal"/>
    <w:link w:val="PiedepginaCar"/>
    <w:uiPriority w:val="99"/>
    <w:rsid w:val="0015403F"/>
    <w:pPr>
      <w:tabs>
        <w:tab w:val="center" w:pos="4252"/>
        <w:tab w:val="right" w:pos="8504"/>
      </w:tabs>
    </w:pPr>
  </w:style>
  <w:style w:type="character" w:customStyle="1" w:styleId="PiedepginaCar">
    <w:name w:val="Pie de página Car"/>
    <w:basedOn w:val="Fuentedeprrafopredeter"/>
    <w:link w:val="Piedepgina"/>
    <w:uiPriority w:val="99"/>
    <w:rsid w:val="001A71FC"/>
    <w:rPr>
      <w:sz w:val="24"/>
      <w:szCs w:val="24"/>
    </w:rPr>
  </w:style>
  <w:style w:type="character" w:styleId="Hipervnculo">
    <w:name w:val="Hyperlink"/>
    <w:basedOn w:val="Fuentedeprrafopredeter"/>
    <w:rsid w:val="0015403F"/>
    <w:rPr>
      <w:color w:val="0000FF"/>
      <w:u w:val="single"/>
    </w:rPr>
  </w:style>
  <w:style w:type="paragraph" w:styleId="Textodeglobo">
    <w:name w:val="Balloon Text"/>
    <w:basedOn w:val="Normal"/>
    <w:link w:val="TextodegloboCar"/>
    <w:rsid w:val="001A71FC"/>
    <w:rPr>
      <w:rFonts w:ascii="Tahoma" w:hAnsi="Tahoma" w:cs="Tahoma"/>
      <w:sz w:val="16"/>
      <w:szCs w:val="16"/>
    </w:rPr>
  </w:style>
  <w:style w:type="character" w:customStyle="1" w:styleId="TextodegloboCar">
    <w:name w:val="Texto de globo Car"/>
    <w:basedOn w:val="Fuentedeprrafopredeter"/>
    <w:link w:val="Textodeglobo"/>
    <w:rsid w:val="001A71FC"/>
    <w:rPr>
      <w:rFonts w:ascii="Tahoma" w:hAnsi="Tahoma" w:cs="Tahoma"/>
      <w:sz w:val="16"/>
      <w:szCs w:val="16"/>
    </w:rPr>
  </w:style>
  <w:style w:type="paragraph" w:styleId="Prrafodelista">
    <w:name w:val="List Paragraph"/>
    <w:basedOn w:val="Normal"/>
    <w:qFormat/>
    <w:rsid w:val="00A60764"/>
    <w:pPr>
      <w:ind w:left="708"/>
    </w:pPr>
    <w:rPr>
      <w:rFonts w:eastAsia="Times New Roman"/>
      <w:sz w:val="20"/>
      <w:szCs w:val="20"/>
    </w:rPr>
  </w:style>
  <w:style w:type="paragraph" w:styleId="Textoindependiente">
    <w:name w:val="Body Text"/>
    <w:basedOn w:val="Normal"/>
    <w:rsid w:val="008C7B9D"/>
    <w:pPr>
      <w:jc w:val="center"/>
    </w:pPr>
    <w:rPr>
      <w:rFonts w:ascii="Tahoma" w:eastAsia="Times New Roman" w:hAnsi="Tahoma"/>
      <w:b/>
      <w:szCs w:val="20"/>
      <w:lang w:val="es-MX"/>
    </w:rPr>
  </w:style>
  <w:style w:type="table" w:styleId="Tablaconcuadrcula">
    <w:name w:val="Table Grid"/>
    <w:basedOn w:val="Tablanormal"/>
    <w:rsid w:val="00EB2EE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EB2EEA"/>
    <w:rPr>
      <w:b/>
      <w:bCs/>
    </w:rPr>
  </w:style>
  <w:style w:type="character" w:styleId="Nmerodepgina">
    <w:name w:val="page number"/>
    <w:basedOn w:val="Fuentedeprrafopredeter"/>
    <w:rsid w:val="002B1C8A"/>
  </w:style>
  <w:style w:type="table" w:styleId="Tablaclsica2">
    <w:name w:val="Table Classic 2"/>
    <w:basedOn w:val="Tablanormal"/>
    <w:rsid w:val="0093385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1">
    <w:name w:val="Table Simple 1"/>
    <w:basedOn w:val="Tablanormal"/>
    <w:rsid w:val="0093385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pgrafe">
    <w:name w:val="caption"/>
    <w:basedOn w:val="Normal"/>
    <w:next w:val="Normal"/>
    <w:uiPriority w:val="35"/>
    <w:unhideWhenUsed/>
    <w:qFormat/>
    <w:rsid w:val="00C32225"/>
    <w:pPr>
      <w:spacing w:after="200"/>
    </w:pPr>
    <w:rPr>
      <w:rFonts w:ascii="Calibri" w:eastAsia="Calibri" w:hAnsi="Calibri"/>
      <w:b/>
      <w:bCs/>
      <w:color w:val="4F81BD"/>
      <w:sz w:val="18"/>
      <w:szCs w:val="18"/>
      <w:lang w:val="es-CO" w:eastAsia="en-US"/>
    </w:rPr>
  </w:style>
  <w:style w:type="table" w:styleId="Tablabsica3">
    <w:name w:val="Table Simple 3"/>
    <w:basedOn w:val="Tablanormal"/>
    <w:rsid w:val="0014341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2">
    <w:name w:val="Table Subtle 2"/>
    <w:basedOn w:val="Tablanormal"/>
    <w:rsid w:val="0014341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14341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conlista2">
    <w:name w:val="Table List 2"/>
    <w:basedOn w:val="Tablanormal"/>
    <w:rsid w:val="001F334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vistosa-nfasis1">
    <w:name w:val="Colorful List Accent 1"/>
    <w:basedOn w:val="Tablanormal"/>
    <w:uiPriority w:val="72"/>
    <w:rsid w:val="002001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03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5403F"/>
    <w:rPr>
      <w:sz w:val="20"/>
      <w:szCs w:val="20"/>
    </w:rPr>
  </w:style>
  <w:style w:type="character" w:styleId="Refdenotaalpie">
    <w:name w:val="footnote reference"/>
    <w:basedOn w:val="Fuentedeprrafopredeter"/>
    <w:semiHidden/>
    <w:rsid w:val="0015403F"/>
    <w:rPr>
      <w:vertAlign w:val="superscript"/>
    </w:rPr>
  </w:style>
  <w:style w:type="paragraph" w:styleId="Encabezado">
    <w:name w:val="header"/>
    <w:basedOn w:val="Normal"/>
    <w:rsid w:val="0015403F"/>
    <w:pPr>
      <w:tabs>
        <w:tab w:val="center" w:pos="4252"/>
        <w:tab w:val="right" w:pos="8504"/>
      </w:tabs>
    </w:pPr>
  </w:style>
  <w:style w:type="paragraph" w:styleId="Piedepgina">
    <w:name w:val="footer"/>
    <w:basedOn w:val="Normal"/>
    <w:link w:val="PiedepginaCar"/>
    <w:uiPriority w:val="99"/>
    <w:rsid w:val="0015403F"/>
    <w:pPr>
      <w:tabs>
        <w:tab w:val="center" w:pos="4252"/>
        <w:tab w:val="right" w:pos="8504"/>
      </w:tabs>
    </w:pPr>
  </w:style>
  <w:style w:type="character" w:customStyle="1" w:styleId="PiedepginaCar">
    <w:name w:val="Pie de página Car"/>
    <w:basedOn w:val="Fuentedeprrafopredeter"/>
    <w:link w:val="Piedepgina"/>
    <w:uiPriority w:val="99"/>
    <w:rsid w:val="001A71FC"/>
    <w:rPr>
      <w:sz w:val="24"/>
      <w:szCs w:val="24"/>
    </w:rPr>
  </w:style>
  <w:style w:type="character" w:styleId="Hipervnculo">
    <w:name w:val="Hyperlink"/>
    <w:basedOn w:val="Fuentedeprrafopredeter"/>
    <w:rsid w:val="0015403F"/>
    <w:rPr>
      <w:color w:val="0000FF"/>
      <w:u w:val="single"/>
    </w:rPr>
  </w:style>
  <w:style w:type="paragraph" w:styleId="Textodeglobo">
    <w:name w:val="Balloon Text"/>
    <w:basedOn w:val="Normal"/>
    <w:link w:val="TextodegloboCar"/>
    <w:rsid w:val="001A71FC"/>
    <w:rPr>
      <w:rFonts w:ascii="Tahoma" w:hAnsi="Tahoma" w:cs="Tahoma"/>
      <w:sz w:val="16"/>
      <w:szCs w:val="16"/>
    </w:rPr>
  </w:style>
  <w:style w:type="character" w:customStyle="1" w:styleId="TextodegloboCar">
    <w:name w:val="Texto de globo Car"/>
    <w:basedOn w:val="Fuentedeprrafopredeter"/>
    <w:link w:val="Textodeglobo"/>
    <w:rsid w:val="001A71FC"/>
    <w:rPr>
      <w:rFonts w:ascii="Tahoma" w:hAnsi="Tahoma" w:cs="Tahoma"/>
      <w:sz w:val="16"/>
      <w:szCs w:val="16"/>
    </w:rPr>
  </w:style>
  <w:style w:type="paragraph" w:styleId="Prrafodelista">
    <w:name w:val="List Paragraph"/>
    <w:basedOn w:val="Normal"/>
    <w:qFormat/>
    <w:rsid w:val="00A60764"/>
    <w:pPr>
      <w:ind w:left="708"/>
    </w:pPr>
    <w:rPr>
      <w:rFonts w:eastAsia="Times New Roman"/>
      <w:sz w:val="20"/>
      <w:szCs w:val="20"/>
    </w:rPr>
  </w:style>
  <w:style w:type="paragraph" w:styleId="Textoindependiente">
    <w:name w:val="Body Text"/>
    <w:basedOn w:val="Normal"/>
    <w:rsid w:val="008C7B9D"/>
    <w:pPr>
      <w:jc w:val="center"/>
    </w:pPr>
    <w:rPr>
      <w:rFonts w:ascii="Tahoma" w:eastAsia="Times New Roman" w:hAnsi="Tahoma"/>
      <w:b/>
      <w:szCs w:val="20"/>
      <w:lang w:val="es-MX"/>
    </w:rPr>
  </w:style>
  <w:style w:type="table" w:styleId="Tablaconcuadrcula">
    <w:name w:val="Table Grid"/>
    <w:basedOn w:val="Tablanormal"/>
    <w:rsid w:val="00EB2EE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EB2EEA"/>
    <w:rPr>
      <w:b/>
      <w:bCs/>
    </w:rPr>
  </w:style>
  <w:style w:type="character" w:styleId="Nmerodepgina">
    <w:name w:val="page number"/>
    <w:basedOn w:val="Fuentedeprrafopredeter"/>
    <w:rsid w:val="002B1C8A"/>
  </w:style>
  <w:style w:type="table" w:styleId="Tablaclsica2">
    <w:name w:val="Table Classic 2"/>
    <w:basedOn w:val="Tablanormal"/>
    <w:rsid w:val="0093385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1">
    <w:name w:val="Table Simple 1"/>
    <w:basedOn w:val="Tablanormal"/>
    <w:rsid w:val="0093385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pgrafe">
    <w:name w:val="caption"/>
    <w:basedOn w:val="Normal"/>
    <w:next w:val="Normal"/>
    <w:uiPriority w:val="35"/>
    <w:unhideWhenUsed/>
    <w:qFormat/>
    <w:rsid w:val="00C32225"/>
    <w:pPr>
      <w:spacing w:after="200"/>
    </w:pPr>
    <w:rPr>
      <w:rFonts w:ascii="Calibri" w:eastAsia="Calibri" w:hAnsi="Calibri"/>
      <w:b/>
      <w:bCs/>
      <w:color w:val="4F81BD"/>
      <w:sz w:val="18"/>
      <w:szCs w:val="18"/>
      <w:lang w:val="es-CO" w:eastAsia="en-US"/>
    </w:rPr>
  </w:style>
  <w:style w:type="table" w:styleId="Tablabsica3">
    <w:name w:val="Table Simple 3"/>
    <w:basedOn w:val="Tablanormal"/>
    <w:rsid w:val="0014341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2">
    <w:name w:val="Table Subtle 2"/>
    <w:basedOn w:val="Tablanormal"/>
    <w:rsid w:val="0014341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14341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conlista2">
    <w:name w:val="Table List 2"/>
    <w:basedOn w:val="Tablanormal"/>
    <w:rsid w:val="001F334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vistosa-nfasis1">
    <w:name w:val="Colorful List Accent 1"/>
    <w:basedOn w:val="Tablanormal"/>
    <w:uiPriority w:val="72"/>
    <w:rsid w:val="002001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05881">
      <w:bodyDiv w:val="1"/>
      <w:marLeft w:val="0"/>
      <w:marRight w:val="0"/>
      <w:marTop w:val="0"/>
      <w:marBottom w:val="0"/>
      <w:divBdr>
        <w:top w:val="none" w:sz="0" w:space="0" w:color="auto"/>
        <w:left w:val="none" w:sz="0" w:space="0" w:color="auto"/>
        <w:bottom w:val="none" w:sz="0" w:space="0" w:color="auto"/>
        <w:right w:val="none" w:sz="0" w:space="0" w:color="auto"/>
      </w:divBdr>
    </w:div>
    <w:div w:id="336664464">
      <w:bodyDiv w:val="1"/>
      <w:marLeft w:val="0"/>
      <w:marRight w:val="0"/>
      <w:marTop w:val="0"/>
      <w:marBottom w:val="0"/>
      <w:divBdr>
        <w:top w:val="none" w:sz="0" w:space="0" w:color="auto"/>
        <w:left w:val="none" w:sz="0" w:space="0" w:color="auto"/>
        <w:bottom w:val="none" w:sz="0" w:space="0" w:color="auto"/>
        <w:right w:val="none" w:sz="0" w:space="0" w:color="auto"/>
      </w:divBdr>
    </w:div>
    <w:div w:id="455031330">
      <w:bodyDiv w:val="1"/>
      <w:marLeft w:val="0"/>
      <w:marRight w:val="0"/>
      <w:marTop w:val="0"/>
      <w:marBottom w:val="0"/>
      <w:divBdr>
        <w:top w:val="none" w:sz="0" w:space="0" w:color="auto"/>
        <w:left w:val="none" w:sz="0" w:space="0" w:color="auto"/>
        <w:bottom w:val="none" w:sz="0" w:space="0" w:color="auto"/>
        <w:right w:val="none" w:sz="0" w:space="0" w:color="auto"/>
      </w:divBdr>
    </w:div>
    <w:div w:id="708575692">
      <w:bodyDiv w:val="1"/>
      <w:marLeft w:val="0"/>
      <w:marRight w:val="0"/>
      <w:marTop w:val="0"/>
      <w:marBottom w:val="0"/>
      <w:divBdr>
        <w:top w:val="none" w:sz="0" w:space="0" w:color="auto"/>
        <w:left w:val="none" w:sz="0" w:space="0" w:color="auto"/>
        <w:bottom w:val="none" w:sz="0" w:space="0" w:color="auto"/>
        <w:right w:val="none" w:sz="0" w:space="0" w:color="auto"/>
      </w:divBdr>
    </w:div>
    <w:div w:id="773285582">
      <w:bodyDiv w:val="1"/>
      <w:marLeft w:val="0"/>
      <w:marRight w:val="0"/>
      <w:marTop w:val="0"/>
      <w:marBottom w:val="0"/>
      <w:divBdr>
        <w:top w:val="none" w:sz="0" w:space="0" w:color="auto"/>
        <w:left w:val="none" w:sz="0" w:space="0" w:color="auto"/>
        <w:bottom w:val="none" w:sz="0" w:space="0" w:color="auto"/>
        <w:right w:val="none" w:sz="0" w:space="0" w:color="auto"/>
      </w:divBdr>
    </w:div>
    <w:div w:id="805390279">
      <w:bodyDiv w:val="1"/>
      <w:marLeft w:val="0"/>
      <w:marRight w:val="0"/>
      <w:marTop w:val="0"/>
      <w:marBottom w:val="0"/>
      <w:divBdr>
        <w:top w:val="none" w:sz="0" w:space="0" w:color="auto"/>
        <w:left w:val="none" w:sz="0" w:space="0" w:color="auto"/>
        <w:bottom w:val="none" w:sz="0" w:space="0" w:color="auto"/>
        <w:right w:val="none" w:sz="0" w:space="0" w:color="auto"/>
      </w:divBdr>
    </w:div>
    <w:div w:id="810974905">
      <w:bodyDiv w:val="1"/>
      <w:marLeft w:val="0"/>
      <w:marRight w:val="0"/>
      <w:marTop w:val="0"/>
      <w:marBottom w:val="0"/>
      <w:divBdr>
        <w:top w:val="none" w:sz="0" w:space="0" w:color="auto"/>
        <w:left w:val="none" w:sz="0" w:space="0" w:color="auto"/>
        <w:bottom w:val="none" w:sz="0" w:space="0" w:color="auto"/>
        <w:right w:val="none" w:sz="0" w:space="0" w:color="auto"/>
      </w:divBdr>
    </w:div>
    <w:div w:id="835145168">
      <w:bodyDiv w:val="1"/>
      <w:marLeft w:val="0"/>
      <w:marRight w:val="0"/>
      <w:marTop w:val="0"/>
      <w:marBottom w:val="0"/>
      <w:divBdr>
        <w:top w:val="none" w:sz="0" w:space="0" w:color="auto"/>
        <w:left w:val="none" w:sz="0" w:space="0" w:color="auto"/>
        <w:bottom w:val="none" w:sz="0" w:space="0" w:color="auto"/>
        <w:right w:val="none" w:sz="0" w:space="0" w:color="auto"/>
      </w:divBdr>
    </w:div>
    <w:div w:id="992024230">
      <w:bodyDiv w:val="1"/>
      <w:marLeft w:val="0"/>
      <w:marRight w:val="0"/>
      <w:marTop w:val="0"/>
      <w:marBottom w:val="0"/>
      <w:divBdr>
        <w:top w:val="none" w:sz="0" w:space="0" w:color="auto"/>
        <w:left w:val="none" w:sz="0" w:space="0" w:color="auto"/>
        <w:bottom w:val="none" w:sz="0" w:space="0" w:color="auto"/>
        <w:right w:val="none" w:sz="0" w:space="0" w:color="auto"/>
      </w:divBdr>
    </w:div>
    <w:div w:id="1143276828">
      <w:bodyDiv w:val="1"/>
      <w:marLeft w:val="0"/>
      <w:marRight w:val="0"/>
      <w:marTop w:val="0"/>
      <w:marBottom w:val="0"/>
      <w:divBdr>
        <w:top w:val="none" w:sz="0" w:space="0" w:color="auto"/>
        <w:left w:val="none" w:sz="0" w:space="0" w:color="auto"/>
        <w:bottom w:val="none" w:sz="0" w:space="0" w:color="auto"/>
        <w:right w:val="none" w:sz="0" w:space="0" w:color="auto"/>
      </w:divBdr>
    </w:div>
    <w:div w:id="1143277085">
      <w:bodyDiv w:val="1"/>
      <w:marLeft w:val="0"/>
      <w:marRight w:val="0"/>
      <w:marTop w:val="0"/>
      <w:marBottom w:val="0"/>
      <w:divBdr>
        <w:top w:val="none" w:sz="0" w:space="0" w:color="auto"/>
        <w:left w:val="none" w:sz="0" w:space="0" w:color="auto"/>
        <w:bottom w:val="none" w:sz="0" w:space="0" w:color="auto"/>
        <w:right w:val="none" w:sz="0" w:space="0" w:color="auto"/>
      </w:divBdr>
    </w:div>
    <w:div w:id="1218472816">
      <w:bodyDiv w:val="1"/>
      <w:marLeft w:val="0"/>
      <w:marRight w:val="0"/>
      <w:marTop w:val="0"/>
      <w:marBottom w:val="0"/>
      <w:divBdr>
        <w:top w:val="none" w:sz="0" w:space="0" w:color="auto"/>
        <w:left w:val="none" w:sz="0" w:space="0" w:color="auto"/>
        <w:bottom w:val="none" w:sz="0" w:space="0" w:color="auto"/>
        <w:right w:val="none" w:sz="0" w:space="0" w:color="auto"/>
      </w:divBdr>
    </w:div>
    <w:div w:id="1617907502">
      <w:bodyDiv w:val="1"/>
      <w:marLeft w:val="0"/>
      <w:marRight w:val="0"/>
      <w:marTop w:val="0"/>
      <w:marBottom w:val="0"/>
      <w:divBdr>
        <w:top w:val="none" w:sz="0" w:space="0" w:color="auto"/>
        <w:left w:val="none" w:sz="0" w:space="0" w:color="auto"/>
        <w:bottom w:val="none" w:sz="0" w:space="0" w:color="auto"/>
        <w:right w:val="none" w:sz="0" w:space="0" w:color="auto"/>
      </w:divBdr>
    </w:div>
    <w:div w:id="1646275357">
      <w:bodyDiv w:val="1"/>
      <w:marLeft w:val="0"/>
      <w:marRight w:val="0"/>
      <w:marTop w:val="0"/>
      <w:marBottom w:val="0"/>
      <w:divBdr>
        <w:top w:val="none" w:sz="0" w:space="0" w:color="auto"/>
        <w:left w:val="none" w:sz="0" w:space="0" w:color="auto"/>
        <w:bottom w:val="none" w:sz="0" w:space="0" w:color="auto"/>
        <w:right w:val="none" w:sz="0" w:space="0" w:color="auto"/>
      </w:divBdr>
    </w:div>
    <w:div w:id="1744139549">
      <w:bodyDiv w:val="1"/>
      <w:marLeft w:val="0"/>
      <w:marRight w:val="0"/>
      <w:marTop w:val="0"/>
      <w:marBottom w:val="0"/>
      <w:divBdr>
        <w:top w:val="none" w:sz="0" w:space="0" w:color="auto"/>
        <w:left w:val="none" w:sz="0" w:space="0" w:color="auto"/>
        <w:bottom w:val="none" w:sz="0" w:space="0" w:color="auto"/>
        <w:right w:val="none" w:sz="0" w:space="0" w:color="auto"/>
      </w:divBdr>
    </w:div>
    <w:div w:id="1792817632">
      <w:bodyDiv w:val="1"/>
      <w:marLeft w:val="0"/>
      <w:marRight w:val="0"/>
      <w:marTop w:val="0"/>
      <w:marBottom w:val="0"/>
      <w:divBdr>
        <w:top w:val="none" w:sz="0" w:space="0" w:color="auto"/>
        <w:left w:val="none" w:sz="0" w:space="0" w:color="auto"/>
        <w:bottom w:val="none" w:sz="0" w:space="0" w:color="auto"/>
        <w:right w:val="none" w:sz="0" w:space="0" w:color="auto"/>
      </w:divBdr>
    </w:div>
    <w:div w:id="1810899453">
      <w:bodyDiv w:val="1"/>
      <w:marLeft w:val="0"/>
      <w:marRight w:val="0"/>
      <w:marTop w:val="0"/>
      <w:marBottom w:val="0"/>
      <w:divBdr>
        <w:top w:val="none" w:sz="0" w:space="0" w:color="auto"/>
        <w:left w:val="none" w:sz="0" w:space="0" w:color="auto"/>
        <w:bottom w:val="none" w:sz="0" w:space="0" w:color="auto"/>
        <w:right w:val="none" w:sz="0" w:space="0" w:color="auto"/>
      </w:divBdr>
    </w:div>
    <w:div w:id="2017073611">
      <w:bodyDiv w:val="1"/>
      <w:marLeft w:val="0"/>
      <w:marRight w:val="0"/>
      <w:marTop w:val="0"/>
      <w:marBottom w:val="0"/>
      <w:divBdr>
        <w:top w:val="none" w:sz="0" w:space="0" w:color="auto"/>
        <w:left w:val="none" w:sz="0" w:space="0" w:color="auto"/>
        <w:bottom w:val="none" w:sz="0" w:space="0" w:color="auto"/>
        <w:right w:val="none" w:sz="0" w:space="0" w:color="auto"/>
      </w:divBdr>
    </w:div>
    <w:div w:id="2021656050">
      <w:bodyDiv w:val="1"/>
      <w:marLeft w:val="0"/>
      <w:marRight w:val="0"/>
      <w:marTop w:val="0"/>
      <w:marBottom w:val="0"/>
      <w:divBdr>
        <w:top w:val="none" w:sz="0" w:space="0" w:color="auto"/>
        <w:left w:val="none" w:sz="0" w:space="0" w:color="auto"/>
        <w:bottom w:val="none" w:sz="0" w:space="0" w:color="auto"/>
        <w:right w:val="none" w:sz="0" w:space="0" w:color="auto"/>
      </w:divBdr>
    </w:div>
    <w:div w:id="20428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OFCONTABILIDAD\Desktop\E.F_Marzo_2013\AN&#193;LISIS_MARZO_2013.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oleObject" Target="file:///C:\Users\JOFCONTABILIDAD\Desktop\E.F_Marzo_2013\AN&#193;LISIS_MARZO_2013.xlsx" TargetMode="External"/><Relationship Id="rId1" Type="http://schemas.openxmlformats.org/officeDocument/2006/relationships/image" Target="../media/image2.jpeg"/></Relationships>
</file>

<file path=word/charts/_rels/chart3.xml.rels><?xml version="1.0" encoding="UTF-8" standalone="yes"?>
<Relationships xmlns="http://schemas.openxmlformats.org/package/2006/relationships"><Relationship Id="rId2" Type="http://schemas.openxmlformats.org/officeDocument/2006/relationships/oleObject" Target="file:///C:\Users\JOFCONTABILIDAD\Desktop\E.F_Marzo_2013\AN&#193;LISIS_MARZO_2013.xlsx" TargetMode="External"/><Relationship Id="rId1" Type="http://schemas.openxmlformats.org/officeDocument/2006/relationships/image" Target="../media/image3.jpeg"/></Relationships>
</file>

<file path=word/charts/_rels/chart4.xml.rels><?xml version="1.0" encoding="UTF-8" standalone="yes"?>
<Relationships xmlns="http://schemas.openxmlformats.org/package/2006/relationships"><Relationship Id="rId2" Type="http://schemas.openxmlformats.org/officeDocument/2006/relationships/oleObject" Target="file:///C:\Users\JOFCONTABILIDAD\Desktop\E.F_Marzo_2013\AN&#193;LISIS_MARZO_2013.xlsx" TargetMode="External"/><Relationship Id="rId1" Type="http://schemas.openxmlformats.org/officeDocument/2006/relationships/image" Target="../media/image4.jpeg"/></Relationships>
</file>

<file path=word/charts/_rels/chart5.xml.rels><?xml version="1.0" encoding="UTF-8" standalone="yes"?>
<Relationships xmlns="http://schemas.openxmlformats.org/package/2006/relationships"><Relationship Id="rId1" Type="http://schemas.openxmlformats.org/officeDocument/2006/relationships/oleObject" Target="file:///C:\Users\JOFCONTABILIDAD\Desktop\E.F_Marzo_2013\AN&#193;LISIS_MARZO_20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FCONTABILIDAD\Desktop\E.F_Marzo_2013\AN&#193;LISIS_MARZO_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aseline="0"/>
              <a:t>ACTIVOS TOTALES</a:t>
            </a:r>
            <a:endParaRPr lang="es-CO" sz="1000" b="0" i="0" u="none" strike="noStrike" baseline="0">
              <a:effectLst/>
            </a:endParaRPr>
          </a:p>
          <a:p>
            <a:pPr>
              <a:defRPr/>
            </a:pPr>
            <a:r>
              <a:rPr lang="es-CO" sz="600" b="1" i="0" u="none" strike="noStrike" baseline="0"/>
              <a:t>Millones de pesos</a:t>
            </a:r>
            <a:endParaRPr lang="en-US" sz="600" baseline="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Blce!$A$134</c:f>
              <c:strCache>
                <c:ptCount val="1"/>
                <c:pt idx="0">
                  <c:v>Activos totales</c:v>
                </c:pt>
              </c:strCache>
            </c:strRef>
          </c:tx>
          <c:invertIfNegative val="0"/>
          <c:dLbls>
            <c:dLbl>
              <c:idx val="0"/>
              <c:layout>
                <c:manualLayout>
                  <c:x val="2.7777777777777779E-3"/>
                  <c:y val="-3.2407407407407406E-2"/>
                </c:manualLayout>
              </c:layout>
              <c:showLegendKey val="0"/>
              <c:showVal val="1"/>
              <c:showCatName val="0"/>
              <c:showSerName val="0"/>
              <c:showPercent val="0"/>
              <c:showBubbleSize val="0"/>
            </c:dLbl>
            <c:dLbl>
              <c:idx val="1"/>
              <c:layout>
                <c:manualLayout>
                  <c:x val="0"/>
                  <c:y val="-1.8518518518518517E-2"/>
                </c:manualLayout>
              </c:layout>
              <c:showLegendKey val="0"/>
              <c:showVal val="1"/>
              <c:showCatName val="0"/>
              <c:showSerName val="0"/>
              <c:showPercent val="0"/>
              <c:showBubbleSize val="0"/>
            </c:dLbl>
            <c:dLbl>
              <c:idx val="2"/>
              <c:layout>
                <c:manualLayout>
                  <c:x val="0"/>
                  <c:y val="-1.8518518518518517E-2"/>
                </c:manualLayout>
              </c:layout>
              <c:showLegendKey val="0"/>
              <c:showVal val="1"/>
              <c:showCatName val="0"/>
              <c:showSerName val="0"/>
              <c:showPercent val="0"/>
              <c:showBubbleSize val="0"/>
            </c:dLbl>
            <c:dLbl>
              <c:idx val="3"/>
              <c:layout>
                <c:manualLayout>
                  <c:x val="0"/>
                  <c:y val="-1.8518518518518517E-2"/>
                </c:manualLayout>
              </c:layout>
              <c:showLegendKey val="0"/>
              <c:showVal val="1"/>
              <c:showCatName val="0"/>
              <c:showSerName val="0"/>
              <c:showPercent val="0"/>
              <c:showBubbleSize val="0"/>
            </c:dLbl>
            <c:dLbl>
              <c:idx val="4"/>
              <c:layout>
                <c:manualLayout>
                  <c:x val="0"/>
                  <c:y val="-1.8518518518518517E-2"/>
                </c:manualLayout>
              </c:layout>
              <c:showLegendKey val="0"/>
              <c:showVal val="1"/>
              <c:showCatName val="0"/>
              <c:showSerName val="0"/>
              <c:showPercent val="0"/>
              <c:showBubbleSize val="0"/>
            </c:dLbl>
            <c:txPr>
              <a:bodyPr/>
              <a:lstStyle/>
              <a:p>
                <a:pPr>
                  <a:defRPr sz="800" baseline="0"/>
                </a:pPr>
                <a:endParaRPr lang="es-CO"/>
              </a:p>
            </c:txPr>
            <c:showLegendKey val="0"/>
            <c:showVal val="1"/>
            <c:showCatName val="0"/>
            <c:showSerName val="0"/>
            <c:showPercent val="0"/>
            <c:showBubbleSize val="0"/>
            <c:showLeaderLines val="0"/>
          </c:dLbls>
          <c:cat>
            <c:strRef>
              <c:f>Blce!$B$133:$F$133</c:f>
              <c:strCache>
                <c:ptCount val="5"/>
                <c:pt idx="0">
                  <c:v>Marzo de 2009</c:v>
                </c:pt>
                <c:pt idx="1">
                  <c:v>Marzo de 2010</c:v>
                </c:pt>
                <c:pt idx="2">
                  <c:v>Marzo de 2011</c:v>
                </c:pt>
                <c:pt idx="3">
                  <c:v>Marzo de 2012</c:v>
                </c:pt>
                <c:pt idx="4">
                  <c:v>Marzo de 2013</c:v>
                </c:pt>
              </c:strCache>
            </c:strRef>
          </c:cat>
          <c:val>
            <c:numRef>
              <c:f>Blce!$B$134:$F$134</c:f>
              <c:numCache>
                <c:formatCode>_ * #,##0_ ;_ * \-#,##0_ ;_ * "-"??_ ;_ @_ </c:formatCode>
                <c:ptCount val="5"/>
                <c:pt idx="0">
                  <c:v>322175.49100000004</c:v>
                </c:pt>
                <c:pt idx="1">
                  <c:v>343484.33399999997</c:v>
                </c:pt>
                <c:pt idx="2">
                  <c:v>349840.43799999997</c:v>
                </c:pt>
                <c:pt idx="3">
                  <c:v>370069.52099999995</c:v>
                </c:pt>
                <c:pt idx="4">
                  <c:v>514160.79099999997</c:v>
                </c:pt>
              </c:numCache>
            </c:numRef>
          </c:val>
        </c:ser>
        <c:dLbls>
          <c:showLegendKey val="0"/>
          <c:showVal val="0"/>
          <c:showCatName val="0"/>
          <c:showSerName val="0"/>
          <c:showPercent val="0"/>
          <c:showBubbleSize val="0"/>
        </c:dLbls>
        <c:gapWidth val="150"/>
        <c:shape val="cylinder"/>
        <c:axId val="378849920"/>
        <c:axId val="383680896"/>
        <c:axId val="0"/>
      </c:bar3DChart>
      <c:catAx>
        <c:axId val="378849920"/>
        <c:scaling>
          <c:orientation val="minMax"/>
        </c:scaling>
        <c:delete val="0"/>
        <c:axPos val="b"/>
        <c:majorTickMark val="out"/>
        <c:minorTickMark val="none"/>
        <c:tickLblPos val="nextTo"/>
        <c:txPr>
          <a:bodyPr/>
          <a:lstStyle/>
          <a:p>
            <a:pPr>
              <a:defRPr sz="600" baseline="0"/>
            </a:pPr>
            <a:endParaRPr lang="es-CO"/>
          </a:p>
        </c:txPr>
        <c:crossAx val="383680896"/>
        <c:crosses val="autoZero"/>
        <c:auto val="1"/>
        <c:lblAlgn val="ctr"/>
        <c:lblOffset val="100"/>
        <c:noMultiLvlLbl val="0"/>
      </c:catAx>
      <c:valAx>
        <c:axId val="383680896"/>
        <c:scaling>
          <c:orientation val="minMax"/>
        </c:scaling>
        <c:delete val="0"/>
        <c:axPos val="l"/>
        <c:numFmt formatCode="_ * #,##0_ ;_ * \-#,##0_ ;_ * &quot;-&quot;??_ ;_ @_ " sourceLinked="1"/>
        <c:majorTickMark val="out"/>
        <c:minorTickMark val="none"/>
        <c:tickLblPos val="nextTo"/>
        <c:txPr>
          <a:bodyPr/>
          <a:lstStyle/>
          <a:p>
            <a:pPr>
              <a:defRPr sz="600" baseline="0"/>
            </a:pPr>
            <a:endParaRPr lang="es-CO"/>
          </a:p>
        </c:txPr>
        <c:crossAx val="378849920"/>
        <c:crosses val="autoZero"/>
        <c:crossBetween val="between"/>
      </c:valAx>
      <c:spPr>
        <a:noFill/>
        <a:ln w="25400">
          <a:noFill/>
        </a:ln>
      </c:spPr>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000" baseline="0"/>
              <a:t>ACTIVOS CORRIENTES A MARZO DE 2013</a:t>
            </a:r>
          </a:p>
          <a:p>
            <a:pPr>
              <a:defRPr/>
            </a:pPr>
            <a:r>
              <a:rPr lang="es-CO" sz="600" baseline="0"/>
              <a:t>Millones de pesos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gradFill>
              <a:gsLst>
                <a:gs pos="0">
                  <a:srgbClr val="5E9EFF"/>
                </a:gs>
                <a:gs pos="39999">
                  <a:srgbClr val="85C2FF"/>
                </a:gs>
                <a:gs pos="70000">
                  <a:srgbClr val="C4D6EB"/>
                </a:gs>
                <a:gs pos="100000">
                  <a:srgbClr val="FFEBFA"/>
                </a:gs>
              </a:gsLst>
              <a:lin ang="5400000" scaled="0"/>
            </a:gradFill>
          </c:spPr>
          <c:invertIfNegative val="0"/>
          <c:dLbls>
            <c:dLbl>
              <c:idx val="0"/>
              <c:layout>
                <c:manualLayout>
                  <c:x val="2.7777777777777779E-3"/>
                  <c:y val="-1.2939632545931737E-2"/>
                </c:manualLayout>
              </c:layout>
              <c:showLegendKey val="0"/>
              <c:showVal val="1"/>
              <c:showCatName val="0"/>
              <c:showSerName val="0"/>
              <c:showPercent val="0"/>
              <c:showBubbleSize val="0"/>
            </c:dLbl>
            <c:dLbl>
              <c:idx val="2"/>
              <c:layout>
                <c:manualLayout>
                  <c:x val="2.7777777777777779E-3"/>
                  <c:y val="1.0208515602216474E-2"/>
                </c:manualLayout>
              </c:layout>
              <c:showLegendKey val="0"/>
              <c:showVal val="1"/>
              <c:showCatName val="0"/>
              <c:showSerName val="0"/>
              <c:showPercent val="0"/>
              <c:showBubbleSize val="0"/>
            </c:dLbl>
            <c:dLbl>
              <c:idx val="3"/>
              <c:layout>
                <c:manualLayout>
                  <c:x val="0"/>
                  <c:y val="-2.2637795275590466E-2"/>
                </c:manualLayout>
              </c:layout>
              <c:showLegendKey val="0"/>
              <c:showVal val="1"/>
              <c:showCatName val="0"/>
              <c:showSerName val="0"/>
              <c:showPercent val="0"/>
              <c:showBubbleSize val="0"/>
            </c:dLbl>
            <c:dLbl>
              <c:idx val="4"/>
              <c:layout>
                <c:manualLayout>
                  <c:x val="-5.5555555555555558E-3"/>
                  <c:y val="5.5788859725867598E-3"/>
                </c:manualLayout>
              </c:layout>
              <c:showLegendKey val="0"/>
              <c:showVal val="1"/>
              <c:showCatName val="0"/>
              <c:showSerName val="0"/>
              <c:showPercent val="0"/>
              <c:showBubbleSize val="0"/>
            </c:dLbl>
            <c:txPr>
              <a:bodyPr/>
              <a:lstStyle/>
              <a:p>
                <a:pPr>
                  <a:defRPr sz="800" baseline="0"/>
                </a:pPr>
                <a:endParaRPr lang="es-CO"/>
              </a:p>
            </c:txPr>
            <c:showLegendKey val="0"/>
            <c:showVal val="1"/>
            <c:showCatName val="0"/>
            <c:showSerName val="0"/>
            <c:showPercent val="0"/>
            <c:showBubbleSize val="0"/>
            <c:showLeaderLines val="0"/>
          </c:dLbls>
          <c:cat>
            <c:strRef>
              <c:f>Blce!$A$124:$A$128</c:f>
              <c:strCache>
                <c:ptCount val="5"/>
                <c:pt idx="0">
                  <c:v>Otros activos</c:v>
                </c:pt>
                <c:pt idx="1">
                  <c:v>Inventarios</c:v>
                </c:pt>
                <c:pt idx="2">
                  <c:v>Deudores</c:v>
                </c:pt>
                <c:pt idx="3">
                  <c:v>Rentas por cobrar</c:v>
                </c:pt>
                <c:pt idx="4">
                  <c:v>Efectivo</c:v>
                </c:pt>
              </c:strCache>
            </c:strRef>
          </c:cat>
          <c:val>
            <c:numRef>
              <c:f>Blce!$B$124:$B$128</c:f>
              <c:numCache>
                <c:formatCode>_ * #,##0_ ;_ * \-#,##0_ ;_ * "-"??_ ;_ @_ </c:formatCode>
                <c:ptCount val="5"/>
                <c:pt idx="0">
                  <c:v>241520</c:v>
                </c:pt>
                <c:pt idx="1">
                  <c:v>434</c:v>
                </c:pt>
                <c:pt idx="2">
                  <c:v>39425</c:v>
                </c:pt>
                <c:pt idx="3">
                  <c:v>12724</c:v>
                </c:pt>
                <c:pt idx="4">
                  <c:v>58758</c:v>
                </c:pt>
              </c:numCache>
            </c:numRef>
          </c:val>
        </c:ser>
        <c:dLbls>
          <c:showLegendKey val="0"/>
          <c:showVal val="1"/>
          <c:showCatName val="0"/>
          <c:showSerName val="0"/>
          <c:showPercent val="0"/>
          <c:showBubbleSize val="0"/>
        </c:dLbls>
        <c:gapWidth val="150"/>
        <c:shape val="cylinder"/>
        <c:axId val="373641216"/>
        <c:axId val="373642752"/>
        <c:axId val="0"/>
      </c:bar3DChart>
      <c:catAx>
        <c:axId val="373641216"/>
        <c:scaling>
          <c:orientation val="minMax"/>
        </c:scaling>
        <c:delete val="0"/>
        <c:axPos val="b"/>
        <c:majorTickMark val="out"/>
        <c:minorTickMark val="none"/>
        <c:tickLblPos val="nextTo"/>
        <c:txPr>
          <a:bodyPr/>
          <a:lstStyle/>
          <a:p>
            <a:pPr>
              <a:defRPr sz="600" baseline="0"/>
            </a:pPr>
            <a:endParaRPr lang="es-CO"/>
          </a:p>
        </c:txPr>
        <c:crossAx val="373642752"/>
        <c:crosses val="autoZero"/>
        <c:auto val="1"/>
        <c:lblAlgn val="ctr"/>
        <c:lblOffset val="100"/>
        <c:noMultiLvlLbl val="0"/>
      </c:catAx>
      <c:valAx>
        <c:axId val="373642752"/>
        <c:scaling>
          <c:orientation val="minMax"/>
        </c:scaling>
        <c:delete val="0"/>
        <c:axPos val="l"/>
        <c:majorGridlines/>
        <c:numFmt formatCode="_ * #,##0_ ;_ * \-#,##0_ ;_ * &quot;-&quot;??_ ;_ @_ " sourceLinked="1"/>
        <c:majorTickMark val="out"/>
        <c:minorTickMark val="none"/>
        <c:tickLblPos val="nextTo"/>
        <c:txPr>
          <a:bodyPr/>
          <a:lstStyle/>
          <a:p>
            <a:pPr>
              <a:defRPr sz="600" baseline="0"/>
            </a:pPr>
            <a:endParaRPr lang="es-CO"/>
          </a:p>
        </c:txPr>
        <c:crossAx val="373641216"/>
        <c:crosses val="autoZero"/>
        <c:crossBetween val="between"/>
      </c:valAx>
      <c:spPr>
        <a:noFill/>
        <a:ln w="25400">
          <a:noFill/>
        </a:ln>
      </c:spPr>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aseline="0"/>
              <a:t>PASIVOS TOTALES</a:t>
            </a:r>
          </a:p>
          <a:p>
            <a:pPr>
              <a:defRPr/>
            </a:pPr>
            <a:r>
              <a:rPr lang="en-US" sz="600" baseline="0"/>
              <a:t>En millones de pesos</a:t>
            </a:r>
          </a:p>
        </c:rich>
      </c:tx>
      <c:overlay val="0"/>
    </c:title>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Blce!$A$147</c:f>
              <c:strCache>
                <c:ptCount val="1"/>
                <c:pt idx="0">
                  <c:v>Pasivos totales</c:v>
                </c:pt>
              </c:strCache>
            </c:strRef>
          </c:tx>
          <c:spPr>
            <a:solidFill>
              <a:schemeClr val="accent4">
                <a:lumMod val="75000"/>
              </a:schemeClr>
            </a:solidFill>
          </c:spPr>
          <c:invertIfNegative val="0"/>
          <c:dLbls>
            <c:dLbl>
              <c:idx val="0"/>
              <c:layout>
                <c:manualLayout>
                  <c:x val="2.7777777777777779E-3"/>
                  <c:y val="-2.3148148148148147E-2"/>
                </c:manualLayout>
              </c:layout>
              <c:showLegendKey val="0"/>
              <c:showVal val="1"/>
              <c:showCatName val="0"/>
              <c:showSerName val="0"/>
              <c:showPercent val="0"/>
              <c:showBubbleSize val="0"/>
            </c:dLbl>
            <c:dLbl>
              <c:idx val="1"/>
              <c:layout>
                <c:manualLayout>
                  <c:x val="0"/>
                  <c:y val="-3.2407407407407406E-2"/>
                </c:manualLayout>
              </c:layout>
              <c:showLegendKey val="0"/>
              <c:showVal val="1"/>
              <c:showCatName val="0"/>
              <c:showSerName val="0"/>
              <c:showPercent val="0"/>
              <c:showBubbleSize val="0"/>
            </c:dLbl>
            <c:dLbl>
              <c:idx val="2"/>
              <c:layout>
                <c:manualLayout>
                  <c:x val="0"/>
                  <c:y val="-1.8518518518518517E-2"/>
                </c:manualLayout>
              </c:layout>
              <c:showLegendKey val="0"/>
              <c:showVal val="1"/>
              <c:showCatName val="0"/>
              <c:showSerName val="0"/>
              <c:showPercent val="0"/>
              <c:showBubbleSize val="0"/>
            </c:dLbl>
            <c:dLbl>
              <c:idx val="3"/>
              <c:layout>
                <c:manualLayout>
                  <c:x val="0"/>
                  <c:y val="-3.2407407407407447E-2"/>
                </c:manualLayout>
              </c:layout>
              <c:showLegendKey val="0"/>
              <c:showVal val="1"/>
              <c:showCatName val="0"/>
              <c:showSerName val="0"/>
              <c:showPercent val="0"/>
              <c:showBubbleSize val="0"/>
            </c:dLbl>
            <c:dLbl>
              <c:idx val="4"/>
              <c:layout>
                <c:manualLayout>
                  <c:x val="1.0185067526415994E-16"/>
                  <c:y val="-1.8518518518518517E-2"/>
                </c:manualLayout>
              </c:layout>
              <c:showLegendKey val="0"/>
              <c:showVal val="1"/>
              <c:showCatName val="0"/>
              <c:showSerName val="0"/>
              <c:showPercent val="0"/>
              <c:showBubbleSize val="0"/>
            </c:dLbl>
            <c:txPr>
              <a:bodyPr/>
              <a:lstStyle/>
              <a:p>
                <a:pPr>
                  <a:defRPr sz="800" baseline="0"/>
                </a:pPr>
                <a:endParaRPr lang="es-CO"/>
              </a:p>
            </c:txPr>
            <c:showLegendKey val="0"/>
            <c:showVal val="1"/>
            <c:showCatName val="0"/>
            <c:showSerName val="0"/>
            <c:showPercent val="0"/>
            <c:showBubbleSize val="0"/>
            <c:showLeaderLines val="0"/>
          </c:dLbls>
          <c:cat>
            <c:strRef>
              <c:f>Blce!$B$146:$F$146</c:f>
              <c:strCache>
                <c:ptCount val="5"/>
                <c:pt idx="0">
                  <c:v>Marzo de 2009</c:v>
                </c:pt>
                <c:pt idx="1">
                  <c:v>Marzo de 2010</c:v>
                </c:pt>
                <c:pt idx="2">
                  <c:v>Marzo de 2011</c:v>
                </c:pt>
                <c:pt idx="3">
                  <c:v>Marzo de 2012</c:v>
                </c:pt>
                <c:pt idx="4">
                  <c:v>Marzo de 2013</c:v>
                </c:pt>
              </c:strCache>
            </c:strRef>
          </c:cat>
          <c:val>
            <c:numRef>
              <c:f>Blce!$B$147:$F$147</c:f>
              <c:numCache>
                <c:formatCode>_ * #,##0_ ;_ * \-#,##0_ ;_ * "-"??_ ;_ @_ </c:formatCode>
                <c:ptCount val="5"/>
                <c:pt idx="0">
                  <c:v>99774.707999999999</c:v>
                </c:pt>
                <c:pt idx="1">
                  <c:v>83577.413</c:v>
                </c:pt>
                <c:pt idx="2">
                  <c:v>94611.525999999983</c:v>
                </c:pt>
                <c:pt idx="3">
                  <c:v>112426.24199999998</c:v>
                </c:pt>
                <c:pt idx="4">
                  <c:v>141375.79800000001</c:v>
                </c:pt>
              </c:numCache>
            </c:numRef>
          </c:val>
        </c:ser>
        <c:dLbls>
          <c:showLegendKey val="0"/>
          <c:showVal val="0"/>
          <c:showCatName val="0"/>
          <c:showSerName val="0"/>
          <c:showPercent val="0"/>
          <c:showBubbleSize val="0"/>
        </c:dLbls>
        <c:gapWidth val="150"/>
        <c:shape val="box"/>
        <c:axId val="373667712"/>
        <c:axId val="373669248"/>
        <c:axId val="373485056"/>
      </c:bar3DChart>
      <c:catAx>
        <c:axId val="373667712"/>
        <c:scaling>
          <c:orientation val="minMax"/>
        </c:scaling>
        <c:delete val="0"/>
        <c:axPos val="b"/>
        <c:majorTickMark val="out"/>
        <c:minorTickMark val="none"/>
        <c:tickLblPos val="nextTo"/>
        <c:txPr>
          <a:bodyPr/>
          <a:lstStyle/>
          <a:p>
            <a:pPr>
              <a:defRPr sz="600" baseline="0"/>
            </a:pPr>
            <a:endParaRPr lang="es-CO"/>
          </a:p>
        </c:txPr>
        <c:crossAx val="373669248"/>
        <c:crosses val="autoZero"/>
        <c:auto val="1"/>
        <c:lblAlgn val="ctr"/>
        <c:lblOffset val="100"/>
        <c:noMultiLvlLbl val="0"/>
      </c:catAx>
      <c:valAx>
        <c:axId val="373669248"/>
        <c:scaling>
          <c:orientation val="minMax"/>
        </c:scaling>
        <c:delete val="0"/>
        <c:axPos val="l"/>
        <c:numFmt formatCode="_ * #,##0_ ;_ * \-#,##0_ ;_ * &quot;-&quot;??_ ;_ @_ " sourceLinked="1"/>
        <c:majorTickMark val="out"/>
        <c:minorTickMark val="none"/>
        <c:tickLblPos val="nextTo"/>
        <c:txPr>
          <a:bodyPr/>
          <a:lstStyle/>
          <a:p>
            <a:pPr>
              <a:defRPr sz="600" baseline="0"/>
            </a:pPr>
            <a:endParaRPr lang="es-CO"/>
          </a:p>
        </c:txPr>
        <c:crossAx val="373667712"/>
        <c:crosses val="autoZero"/>
        <c:crossBetween val="between"/>
      </c:valAx>
      <c:serAx>
        <c:axId val="373485056"/>
        <c:scaling>
          <c:orientation val="minMax"/>
        </c:scaling>
        <c:delete val="1"/>
        <c:axPos val="b"/>
        <c:majorTickMark val="out"/>
        <c:minorTickMark val="none"/>
        <c:tickLblPos val="nextTo"/>
        <c:crossAx val="373669248"/>
        <c:crosses val="autoZero"/>
      </c:serAx>
    </c:plotArea>
    <c:plotVisOnly val="1"/>
    <c:dispBlanksAs val="gap"/>
    <c:showDLblsOverMax val="0"/>
  </c:chart>
  <c:spPr>
    <a:blipFill>
      <a:blip xmlns:r="http://schemas.openxmlformats.org/officeDocument/2006/relationships" r:embed="rId1"/>
      <a:tile tx="0" ty="0" sx="100000" sy="100000" flip="none" algn="tl"/>
    </a:blip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000" baseline="0"/>
              <a:t>ACTIVOS CORRIENTES Y PASIVO EXIGIBLE A CORTO PLAZO</a:t>
            </a:r>
          </a:p>
          <a:p>
            <a:pPr>
              <a:defRPr/>
            </a:pPr>
            <a:r>
              <a:rPr lang="es-CO" sz="600" baseline="0"/>
              <a:t>En millones de pesos</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Blce!$A$137</c:f>
              <c:strCache>
                <c:ptCount val="1"/>
                <c:pt idx="0">
                  <c:v>Activos Corrientes</c:v>
                </c:pt>
              </c:strCache>
            </c:strRef>
          </c:tx>
          <c:invertIfNegative val="0"/>
          <c:cat>
            <c:strRef>
              <c:f>Blce!$B$136:$F$136</c:f>
              <c:strCache>
                <c:ptCount val="5"/>
                <c:pt idx="0">
                  <c:v>Marzo de 2009</c:v>
                </c:pt>
                <c:pt idx="1">
                  <c:v>Marzo de 2010</c:v>
                </c:pt>
                <c:pt idx="2">
                  <c:v>Marzo de 2011</c:v>
                </c:pt>
                <c:pt idx="3">
                  <c:v>Marzo de 2012</c:v>
                </c:pt>
                <c:pt idx="4">
                  <c:v>Marzo de 2013</c:v>
                </c:pt>
              </c:strCache>
            </c:strRef>
          </c:cat>
          <c:val>
            <c:numRef>
              <c:f>Blce!$B$137:$F$137</c:f>
              <c:numCache>
                <c:formatCode>_ * #,##0_ ;_ * \-#,##0_ ;_ * "-"??_ ;_ @_ </c:formatCode>
                <c:ptCount val="5"/>
                <c:pt idx="0">
                  <c:v>151905.55300000001</c:v>
                </c:pt>
                <c:pt idx="1">
                  <c:v>157766.641</c:v>
                </c:pt>
                <c:pt idx="2">
                  <c:v>207760.38099999999</c:v>
                </c:pt>
                <c:pt idx="3">
                  <c:v>217233.88299999997</c:v>
                </c:pt>
                <c:pt idx="4">
                  <c:v>352860.76199999999</c:v>
                </c:pt>
              </c:numCache>
            </c:numRef>
          </c:val>
        </c:ser>
        <c:ser>
          <c:idx val="1"/>
          <c:order val="1"/>
          <c:tx>
            <c:strRef>
              <c:f>Blce!$A$138</c:f>
              <c:strCache>
                <c:ptCount val="1"/>
                <c:pt idx="0">
                  <c:v>Pasivos de corto plazo</c:v>
                </c:pt>
              </c:strCache>
            </c:strRef>
          </c:tx>
          <c:spPr>
            <a:solidFill>
              <a:schemeClr val="accent6">
                <a:lumMod val="75000"/>
              </a:schemeClr>
            </a:solidFill>
          </c:spPr>
          <c:invertIfNegative val="0"/>
          <c:cat>
            <c:strRef>
              <c:f>Blce!$B$136:$F$136</c:f>
              <c:strCache>
                <c:ptCount val="5"/>
                <c:pt idx="0">
                  <c:v>Marzo de 2009</c:v>
                </c:pt>
                <c:pt idx="1">
                  <c:v>Marzo de 2010</c:v>
                </c:pt>
                <c:pt idx="2">
                  <c:v>Marzo de 2011</c:v>
                </c:pt>
                <c:pt idx="3">
                  <c:v>Marzo de 2012</c:v>
                </c:pt>
                <c:pt idx="4">
                  <c:v>Marzo de 2013</c:v>
                </c:pt>
              </c:strCache>
            </c:strRef>
          </c:cat>
          <c:val>
            <c:numRef>
              <c:f>Blce!$B$138:$F$138</c:f>
              <c:numCache>
                <c:formatCode>_ * #,##0_ ;_ * \-#,##0_ ;_ * "-"??_ ;_ @_ </c:formatCode>
                <c:ptCount val="5"/>
                <c:pt idx="0">
                  <c:v>21060.010999999999</c:v>
                </c:pt>
                <c:pt idx="1">
                  <c:v>11892.676000000001</c:v>
                </c:pt>
                <c:pt idx="2">
                  <c:v>10213.15</c:v>
                </c:pt>
                <c:pt idx="3">
                  <c:v>11215.020999999999</c:v>
                </c:pt>
                <c:pt idx="4">
                  <c:v>33912.438000000002</c:v>
                </c:pt>
              </c:numCache>
            </c:numRef>
          </c:val>
        </c:ser>
        <c:dLbls>
          <c:showLegendKey val="0"/>
          <c:showVal val="0"/>
          <c:showCatName val="0"/>
          <c:showSerName val="0"/>
          <c:showPercent val="0"/>
          <c:showBubbleSize val="0"/>
        </c:dLbls>
        <c:gapWidth val="150"/>
        <c:shape val="cylinder"/>
        <c:axId val="373716864"/>
        <c:axId val="373718400"/>
        <c:axId val="0"/>
      </c:bar3DChart>
      <c:catAx>
        <c:axId val="373716864"/>
        <c:scaling>
          <c:orientation val="minMax"/>
        </c:scaling>
        <c:delete val="0"/>
        <c:axPos val="b"/>
        <c:majorTickMark val="out"/>
        <c:minorTickMark val="none"/>
        <c:tickLblPos val="nextTo"/>
        <c:crossAx val="373718400"/>
        <c:crosses val="autoZero"/>
        <c:auto val="1"/>
        <c:lblAlgn val="ctr"/>
        <c:lblOffset val="100"/>
        <c:noMultiLvlLbl val="0"/>
      </c:catAx>
      <c:valAx>
        <c:axId val="373718400"/>
        <c:scaling>
          <c:orientation val="minMax"/>
        </c:scaling>
        <c:delete val="0"/>
        <c:axPos val="l"/>
        <c:numFmt formatCode="_ * #,##0_ ;_ * \-#,##0_ ;_ * &quot;-&quot;??_ ;_ @_ " sourceLinked="1"/>
        <c:majorTickMark val="out"/>
        <c:minorTickMark val="none"/>
        <c:tickLblPos val="nextTo"/>
        <c:txPr>
          <a:bodyPr/>
          <a:lstStyle/>
          <a:p>
            <a:pPr>
              <a:defRPr sz="600" baseline="0"/>
            </a:pPr>
            <a:endParaRPr lang="es-CO"/>
          </a:p>
        </c:txPr>
        <c:crossAx val="373716864"/>
        <c:crosses val="autoZero"/>
        <c:crossBetween val="between"/>
      </c:valAx>
      <c:dTable>
        <c:showHorzBorder val="1"/>
        <c:showVertBorder val="1"/>
        <c:showOutline val="1"/>
        <c:showKeys val="1"/>
        <c:txPr>
          <a:bodyPr/>
          <a:lstStyle/>
          <a:p>
            <a:pPr rtl="0">
              <a:defRPr sz="600" baseline="0"/>
            </a:pPr>
            <a:endParaRPr lang="es-CO"/>
          </a:p>
        </c:txPr>
      </c:dTable>
    </c:plotArea>
    <c:plotVisOnly val="1"/>
    <c:dispBlanksAs val="gap"/>
    <c:showDLblsOverMax val="0"/>
  </c:chart>
  <c:spPr>
    <a:blipFill>
      <a:blip xmlns:r="http://schemas.openxmlformats.org/officeDocument/2006/relationships" r:embed="rId1"/>
      <a:tile tx="0" ty="0" sx="100000" sy="100000" flip="none" algn="tl"/>
    </a:blipFill>
    <a:ln>
      <a:prstDash val="sysDash"/>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000" baseline="0"/>
              <a:t>OBLIGACIONES A MARZO 2013</a:t>
            </a:r>
          </a:p>
          <a:p>
            <a:pPr>
              <a:defRPr/>
            </a:pPr>
            <a:r>
              <a:rPr lang="es-CO" sz="600" baseline="0"/>
              <a:t>en millones de pesos</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spPr>
            <a:solidFill>
              <a:srgbClr val="00B050"/>
            </a:solidFill>
          </c:spPr>
          <c:invertIfNegative val="0"/>
          <c:dLbls>
            <c:txPr>
              <a:bodyPr/>
              <a:lstStyle/>
              <a:p>
                <a:pPr>
                  <a:defRPr sz="800" baseline="0"/>
                </a:pPr>
                <a:endParaRPr lang="es-CO"/>
              </a:p>
            </c:txPr>
            <c:showLegendKey val="0"/>
            <c:showVal val="1"/>
            <c:showCatName val="0"/>
            <c:showSerName val="0"/>
            <c:showPercent val="0"/>
            <c:showBubbleSize val="0"/>
            <c:showLeaderLines val="0"/>
          </c:dLbls>
          <c:cat>
            <c:strRef>
              <c:f>Blce!$A$159:$A$163</c:f>
              <c:strCache>
                <c:ptCount val="5"/>
                <c:pt idx="0">
                  <c:v>Pasivos estimados</c:v>
                </c:pt>
                <c:pt idx="1">
                  <c:v>Deuda pública</c:v>
                </c:pt>
                <c:pt idx="2">
                  <c:v>Cuentas por pagar</c:v>
                </c:pt>
                <c:pt idx="3">
                  <c:v>Obligaciones laborales</c:v>
                </c:pt>
                <c:pt idx="4">
                  <c:v>Recaudos a favor de tercros</c:v>
                </c:pt>
              </c:strCache>
            </c:strRef>
          </c:cat>
          <c:val>
            <c:numRef>
              <c:f>Blce!$B$159:$B$163</c:f>
              <c:numCache>
                <c:formatCode>_ * #,##0_ ;_ * \-#,##0_ ;_ * "-"??_ ;_ @_ </c:formatCode>
                <c:ptCount val="5"/>
                <c:pt idx="0">
                  <c:v>104973</c:v>
                </c:pt>
                <c:pt idx="1">
                  <c:v>15131</c:v>
                </c:pt>
                <c:pt idx="2">
                  <c:v>16043</c:v>
                </c:pt>
                <c:pt idx="3">
                  <c:v>4771</c:v>
                </c:pt>
                <c:pt idx="4">
                  <c:v>458</c:v>
                </c:pt>
              </c:numCache>
            </c:numRef>
          </c:val>
        </c:ser>
        <c:dLbls>
          <c:showLegendKey val="0"/>
          <c:showVal val="1"/>
          <c:showCatName val="0"/>
          <c:showSerName val="0"/>
          <c:showPercent val="0"/>
          <c:showBubbleSize val="0"/>
        </c:dLbls>
        <c:gapWidth val="150"/>
        <c:shape val="cylinder"/>
        <c:axId val="373764480"/>
        <c:axId val="373767168"/>
        <c:axId val="0"/>
      </c:bar3DChart>
      <c:catAx>
        <c:axId val="373764480"/>
        <c:scaling>
          <c:orientation val="minMax"/>
        </c:scaling>
        <c:delete val="0"/>
        <c:axPos val="l"/>
        <c:majorTickMark val="out"/>
        <c:minorTickMark val="none"/>
        <c:tickLblPos val="nextTo"/>
        <c:txPr>
          <a:bodyPr/>
          <a:lstStyle/>
          <a:p>
            <a:pPr>
              <a:defRPr sz="600" baseline="0"/>
            </a:pPr>
            <a:endParaRPr lang="es-CO"/>
          </a:p>
        </c:txPr>
        <c:crossAx val="373767168"/>
        <c:crosses val="autoZero"/>
        <c:auto val="1"/>
        <c:lblAlgn val="ctr"/>
        <c:lblOffset val="100"/>
        <c:noMultiLvlLbl val="0"/>
      </c:catAx>
      <c:valAx>
        <c:axId val="373767168"/>
        <c:scaling>
          <c:orientation val="minMax"/>
        </c:scaling>
        <c:delete val="0"/>
        <c:axPos val="b"/>
        <c:majorGridlines/>
        <c:numFmt formatCode="_ * #,##0_ ;_ * \-#,##0_ ;_ * &quot;-&quot;??_ ;_ @_ " sourceLinked="1"/>
        <c:majorTickMark val="out"/>
        <c:minorTickMark val="none"/>
        <c:tickLblPos val="nextTo"/>
        <c:txPr>
          <a:bodyPr/>
          <a:lstStyle/>
          <a:p>
            <a:pPr>
              <a:defRPr sz="600" baseline="0"/>
            </a:pPr>
            <a:endParaRPr lang="es-CO"/>
          </a:p>
        </c:txPr>
        <c:crossAx val="373764480"/>
        <c:crosses val="autoZero"/>
        <c:crossBetween val="between"/>
      </c:valAx>
      <c:spPr>
        <a:noFill/>
        <a:ln w="25400">
          <a:noFill/>
        </a:ln>
      </c:spPr>
    </c:plotArea>
    <c:plotVisOnly val="1"/>
    <c:dispBlanksAs val="gap"/>
    <c:showDLblsOverMax val="0"/>
  </c:chart>
  <c:spPr>
    <a:solidFill>
      <a:schemeClr val="accent3">
        <a:lumMod val="40000"/>
        <a:lumOff val="60000"/>
      </a:schemeClr>
    </a:solidFill>
    <a:effectLst>
      <a:outerShdw blurRad="50800" dist="50800" dir="5400000" algn="ctr" rotWithShape="0">
        <a:srgbClr val="000000"/>
      </a:outerShd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41"/>
    </mc:Choice>
    <mc:Fallback>
      <c:style val="41"/>
    </mc:Fallback>
  </mc:AlternateContent>
  <c:chart>
    <c:title>
      <c:tx>
        <c:rich>
          <a:bodyPr/>
          <a:lstStyle/>
          <a:p>
            <a:pPr>
              <a:defRPr/>
            </a:pPr>
            <a:r>
              <a:rPr lang="es-CO" sz="1000" baseline="0"/>
              <a:t>TENDENCIA DE INGRESOS Y GASTOS TOTALES</a:t>
            </a:r>
          </a:p>
          <a:p>
            <a:pPr>
              <a:defRPr/>
            </a:pPr>
            <a:r>
              <a:rPr lang="es-CO" sz="600" baseline="0"/>
              <a:t>En millones de pesos</a:t>
            </a:r>
          </a:p>
        </c:rich>
      </c:tx>
      <c:overlay val="0"/>
    </c:title>
    <c:autoTitleDeleted val="0"/>
    <c:plotArea>
      <c:layout/>
      <c:lineChart>
        <c:grouping val="stacked"/>
        <c:varyColors val="0"/>
        <c:ser>
          <c:idx val="0"/>
          <c:order val="0"/>
          <c:tx>
            <c:strRef>
              <c:f>PyG!$A$44</c:f>
              <c:strCache>
                <c:ptCount val="1"/>
                <c:pt idx="0">
                  <c:v>Gastos totales</c:v>
                </c:pt>
              </c:strCache>
            </c:strRef>
          </c:tx>
          <c:spPr>
            <a:ln>
              <a:solidFill>
                <a:schemeClr val="accent6">
                  <a:lumMod val="75000"/>
                </a:schemeClr>
              </a:solidFill>
            </a:ln>
          </c:spPr>
          <c:marker>
            <c:symbol val="none"/>
          </c:marker>
          <c:dLbls>
            <c:txPr>
              <a:bodyPr/>
              <a:lstStyle/>
              <a:p>
                <a:pPr>
                  <a:defRPr sz="600" baseline="0"/>
                </a:pPr>
                <a:endParaRPr lang="es-CO"/>
              </a:p>
            </c:txPr>
            <c:dLblPos val="t"/>
            <c:showLegendKey val="0"/>
            <c:showVal val="1"/>
            <c:showCatName val="0"/>
            <c:showSerName val="0"/>
            <c:showPercent val="0"/>
            <c:showBubbleSize val="0"/>
            <c:showLeaderLines val="0"/>
          </c:dLbls>
          <c:cat>
            <c:strRef>
              <c:f>PyG!$B$43:$F$43</c:f>
              <c:strCache>
                <c:ptCount val="5"/>
                <c:pt idx="0">
                  <c:v>marzo de 2009</c:v>
                </c:pt>
                <c:pt idx="1">
                  <c:v>marzo de 2010</c:v>
                </c:pt>
                <c:pt idx="2">
                  <c:v>marzo de 2011</c:v>
                </c:pt>
                <c:pt idx="3">
                  <c:v>marzo de 2012</c:v>
                </c:pt>
                <c:pt idx="4">
                  <c:v>marzo de 2013</c:v>
                </c:pt>
              </c:strCache>
            </c:strRef>
          </c:cat>
          <c:val>
            <c:numRef>
              <c:f>PyG!$B$44:$F$44</c:f>
              <c:numCache>
                <c:formatCode>_(* #,##0_);_(* \(#,##0\);_(* "-"??_);_(@_)</c:formatCode>
                <c:ptCount val="5"/>
                <c:pt idx="0">
                  <c:v>25338.992999999999</c:v>
                </c:pt>
                <c:pt idx="1">
                  <c:v>27407.629000000001</c:v>
                </c:pt>
                <c:pt idx="2">
                  <c:v>25962.714</c:v>
                </c:pt>
                <c:pt idx="3">
                  <c:v>21660.149000000001</c:v>
                </c:pt>
                <c:pt idx="4">
                  <c:v>30052.816000000003</c:v>
                </c:pt>
              </c:numCache>
            </c:numRef>
          </c:val>
          <c:smooth val="0"/>
        </c:ser>
        <c:ser>
          <c:idx val="1"/>
          <c:order val="1"/>
          <c:tx>
            <c:strRef>
              <c:f>PyG!$A$45</c:f>
              <c:strCache>
                <c:ptCount val="1"/>
                <c:pt idx="0">
                  <c:v>ingresos totales</c:v>
                </c:pt>
              </c:strCache>
            </c:strRef>
          </c:tx>
          <c:spPr>
            <a:ln>
              <a:solidFill>
                <a:srgbClr val="00B0F0"/>
              </a:solidFill>
            </a:ln>
          </c:spPr>
          <c:marker>
            <c:symbol val="none"/>
          </c:marker>
          <c:dLbls>
            <c:txPr>
              <a:bodyPr/>
              <a:lstStyle/>
              <a:p>
                <a:pPr>
                  <a:defRPr sz="600" baseline="0"/>
                </a:pPr>
                <a:endParaRPr lang="es-CO"/>
              </a:p>
            </c:txPr>
            <c:dLblPos val="t"/>
            <c:showLegendKey val="0"/>
            <c:showVal val="1"/>
            <c:showCatName val="0"/>
            <c:showSerName val="0"/>
            <c:showPercent val="0"/>
            <c:showBubbleSize val="0"/>
            <c:showLeaderLines val="0"/>
          </c:dLbls>
          <c:cat>
            <c:strRef>
              <c:f>PyG!$B$43:$F$43</c:f>
              <c:strCache>
                <c:ptCount val="5"/>
                <c:pt idx="0">
                  <c:v>marzo de 2009</c:v>
                </c:pt>
                <c:pt idx="1">
                  <c:v>marzo de 2010</c:v>
                </c:pt>
                <c:pt idx="2">
                  <c:v>marzo de 2011</c:v>
                </c:pt>
                <c:pt idx="3">
                  <c:v>marzo de 2012</c:v>
                </c:pt>
                <c:pt idx="4">
                  <c:v>marzo de 2013</c:v>
                </c:pt>
              </c:strCache>
            </c:strRef>
          </c:cat>
          <c:val>
            <c:numRef>
              <c:f>PyG!$B$45:$F$45</c:f>
              <c:numCache>
                <c:formatCode>_(* #,##0_);_(* \(#,##0\);_(* "-"??_);_(@_)</c:formatCode>
                <c:ptCount val="5"/>
                <c:pt idx="0">
                  <c:v>41974.929000000004</c:v>
                </c:pt>
                <c:pt idx="1">
                  <c:v>40261.611000000004</c:v>
                </c:pt>
                <c:pt idx="2">
                  <c:v>77745.092000000004</c:v>
                </c:pt>
                <c:pt idx="3">
                  <c:v>72187.83</c:v>
                </c:pt>
                <c:pt idx="4">
                  <c:v>77187.578000000009</c:v>
                </c:pt>
              </c:numCache>
            </c:numRef>
          </c:val>
          <c:smooth val="0"/>
        </c:ser>
        <c:dLbls>
          <c:dLblPos val="t"/>
          <c:showLegendKey val="0"/>
          <c:showVal val="1"/>
          <c:showCatName val="0"/>
          <c:showSerName val="0"/>
          <c:showPercent val="0"/>
          <c:showBubbleSize val="0"/>
        </c:dLbls>
        <c:marker val="1"/>
        <c:smooth val="0"/>
        <c:axId val="373814016"/>
        <c:axId val="373815552"/>
      </c:lineChart>
      <c:catAx>
        <c:axId val="373814016"/>
        <c:scaling>
          <c:orientation val="minMax"/>
        </c:scaling>
        <c:delete val="0"/>
        <c:axPos val="b"/>
        <c:majorTickMark val="out"/>
        <c:minorTickMark val="none"/>
        <c:tickLblPos val="nextTo"/>
        <c:txPr>
          <a:bodyPr/>
          <a:lstStyle/>
          <a:p>
            <a:pPr>
              <a:defRPr sz="600" baseline="0"/>
            </a:pPr>
            <a:endParaRPr lang="es-CO"/>
          </a:p>
        </c:txPr>
        <c:crossAx val="373815552"/>
        <c:crosses val="autoZero"/>
        <c:auto val="1"/>
        <c:lblAlgn val="ctr"/>
        <c:lblOffset val="100"/>
        <c:noMultiLvlLbl val="0"/>
      </c:catAx>
      <c:valAx>
        <c:axId val="373815552"/>
        <c:scaling>
          <c:orientation val="minMax"/>
        </c:scaling>
        <c:delete val="0"/>
        <c:axPos val="l"/>
        <c:majorGridlines/>
        <c:numFmt formatCode="_(* #,##0_);_(* \(#,##0\);_(* &quot;-&quot;??_);_(@_)" sourceLinked="1"/>
        <c:majorTickMark val="out"/>
        <c:minorTickMark val="none"/>
        <c:tickLblPos val="nextTo"/>
        <c:txPr>
          <a:bodyPr/>
          <a:lstStyle/>
          <a:p>
            <a:pPr>
              <a:defRPr sz="600" baseline="0"/>
            </a:pPr>
            <a:endParaRPr lang="es-CO"/>
          </a:p>
        </c:txPr>
        <c:crossAx val="373814016"/>
        <c:crosses val="autoZero"/>
        <c:crossBetween val="between"/>
      </c:valAx>
    </c:plotArea>
    <c:legend>
      <c:legendPos val="r"/>
      <c:overlay val="0"/>
      <c:txPr>
        <a:bodyPr/>
        <a:lstStyle/>
        <a:p>
          <a:pPr>
            <a:defRPr sz="600" baseline="0"/>
          </a:pPr>
          <a:endParaRPr lang="es-CO"/>
        </a:p>
      </c:txPr>
    </c:legend>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85AB-FDDB-4B5D-B508-4490A1C3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CIRCULAR</vt:lpstr>
    </vt:vector>
  </TitlesOfParts>
  <Company>Gobernaciòn del Quindio</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dc:title>
  <dc:creator>Juridica</dc:creator>
  <cp:lastModifiedBy>JOFCONTABILIDAD</cp:lastModifiedBy>
  <cp:revision>11</cp:revision>
  <cp:lastPrinted>2010-03-25T13:19:00Z</cp:lastPrinted>
  <dcterms:created xsi:type="dcterms:W3CDTF">2013-05-06T19:53:00Z</dcterms:created>
  <dcterms:modified xsi:type="dcterms:W3CDTF">2013-05-07T19:14:00Z</dcterms:modified>
</cp:coreProperties>
</file>